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0E5E6C" w:rsidRPr="006D70DF" w:rsidRDefault="00972C18">
      <w:pPr>
        <w:pStyle w:val="Nagwek2"/>
        <w:keepLines w:val="0"/>
        <w:spacing w:before="0" w:after="0" w:line="240" w:lineRule="auto"/>
        <w:jc w:val="right"/>
        <w:rPr>
          <w:rFonts w:ascii="Calibri" w:eastAsia="Calibri" w:hAnsi="Calibri" w:cs="Calibri"/>
          <w:b/>
          <w:bCs/>
          <w:color w:val="0070C0"/>
          <w:sz w:val="22"/>
          <w:szCs w:val="22"/>
        </w:rPr>
      </w:pPr>
      <w:bookmarkStart w:id="0" w:name="_heading=h.gwb37l5fhew7" w:colFirst="0" w:colLast="0"/>
      <w:bookmarkEnd w:id="0"/>
      <w:r w:rsidRPr="006D70DF">
        <w:rPr>
          <w:rFonts w:ascii="Calibri" w:eastAsia="Calibri" w:hAnsi="Calibri" w:cs="Calibri"/>
          <w:b/>
          <w:bCs/>
          <w:color w:val="0070C0"/>
          <w:sz w:val="22"/>
          <w:szCs w:val="22"/>
        </w:rPr>
        <w:t>Załącznik nr 1.1 do SWZ</w:t>
      </w:r>
    </w:p>
    <w:p w14:paraId="00000002" w14:textId="77777777" w:rsidR="000E5E6C" w:rsidRPr="006D70DF" w:rsidRDefault="00972C18">
      <w:pPr>
        <w:jc w:val="right"/>
        <w:rPr>
          <w:color w:val="0070C0"/>
          <w:sz w:val="22"/>
          <w:szCs w:val="22"/>
        </w:rPr>
      </w:pPr>
      <w:r w:rsidRPr="006D70DF">
        <w:rPr>
          <w:color w:val="0070C0"/>
          <w:sz w:val="22"/>
          <w:szCs w:val="22"/>
        </w:rPr>
        <w:t>(do złożenia wraz z ofertą)</w:t>
      </w:r>
    </w:p>
    <w:p w14:paraId="00000003" w14:textId="77777777" w:rsidR="000E5E6C" w:rsidRPr="006D70DF" w:rsidRDefault="00972C18">
      <w:pPr>
        <w:pStyle w:val="Nagwek2"/>
        <w:keepLines w:val="0"/>
        <w:spacing w:before="0" w:after="0" w:line="240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 w:rsidRPr="006D70DF">
        <w:rPr>
          <w:rFonts w:ascii="Calibri" w:eastAsia="Calibri" w:hAnsi="Calibri" w:cs="Calibri"/>
          <w:b/>
          <w:bCs/>
          <w:color w:val="000000"/>
          <w:sz w:val="22"/>
          <w:szCs w:val="22"/>
        </w:rPr>
        <w:t>Szczegółowy Opis Przedmiotu Zamówienia</w:t>
      </w:r>
    </w:p>
    <w:p w14:paraId="00000004" w14:textId="77777777" w:rsidR="000E5E6C" w:rsidRPr="006D70DF" w:rsidRDefault="000E5E6C">
      <w:pPr>
        <w:pStyle w:val="Nagwek2"/>
        <w:keepLines w:val="0"/>
        <w:spacing w:before="0" w:after="0" w:line="240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1" w:name="_heading=h.wmqrists7t3d" w:colFirst="0" w:colLast="0"/>
      <w:bookmarkEnd w:id="1"/>
    </w:p>
    <w:p w14:paraId="00000005" w14:textId="77777777" w:rsidR="000E5E6C" w:rsidRPr="006D70DF" w:rsidRDefault="00972C18">
      <w:pPr>
        <w:pStyle w:val="Nagwek2"/>
        <w:keepLines w:val="0"/>
        <w:spacing w:before="0" w:after="0" w:line="240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2" w:name="_heading=h.w90sk1sqcxf8" w:colFirst="0" w:colLast="0"/>
      <w:bookmarkEnd w:id="2"/>
      <w:r w:rsidRPr="006D70DF">
        <w:rPr>
          <w:rFonts w:ascii="Calibri" w:eastAsia="Calibri" w:hAnsi="Calibri" w:cs="Calibri"/>
          <w:b/>
          <w:bCs/>
          <w:color w:val="000000"/>
          <w:sz w:val="22"/>
          <w:szCs w:val="22"/>
        </w:rPr>
        <w:t>Pakiet nr 1</w:t>
      </w:r>
    </w:p>
    <w:p w14:paraId="00000006" w14:textId="77777777" w:rsidR="000E5E6C" w:rsidRPr="006D70DF" w:rsidRDefault="00972C18">
      <w:pPr>
        <w:pStyle w:val="Nagwek2"/>
        <w:keepLines w:val="0"/>
        <w:spacing w:before="0" w:after="0" w:line="240" w:lineRule="auto"/>
        <w:jc w:val="center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bookmarkStart w:id="3" w:name="_heading=h.pu09qmu46bf4" w:colFirst="0" w:colLast="0"/>
      <w:bookmarkEnd w:id="3"/>
      <w:r w:rsidRPr="006D70DF">
        <w:rPr>
          <w:rFonts w:ascii="Calibri" w:eastAsia="Calibri" w:hAnsi="Calibri" w:cs="Calibri"/>
          <w:b/>
          <w:bCs/>
          <w:color w:val="000000"/>
          <w:sz w:val="22"/>
          <w:szCs w:val="22"/>
        </w:rPr>
        <w:t>“Dostawa macierzy dyskowej do pracy w trybie replikacji z posiadaną przez Zamawiającego macierzą dyskową wraz z wdrożeniem”</w:t>
      </w:r>
    </w:p>
    <w:p w14:paraId="00000007" w14:textId="77777777" w:rsidR="000E5E6C" w:rsidRPr="006D70DF" w:rsidRDefault="000E5E6C">
      <w:pPr>
        <w:rPr>
          <w:sz w:val="22"/>
          <w:szCs w:val="22"/>
        </w:rPr>
      </w:pPr>
    </w:p>
    <w:tbl>
      <w:tblPr>
        <w:tblStyle w:val="a0"/>
        <w:tblW w:w="1417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1418"/>
        <w:gridCol w:w="6565"/>
        <w:gridCol w:w="1350"/>
        <w:gridCol w:w="4275"/>
      </w:tblGrid>
      <w:tr w:rsidR="000E5E6C" w:rsidRPr="006D70DF" w14:paraId="13A7E37F" w14:textId="77777777">
        <w:trPr>
          <w:trHeight w:val="827"/>
        </w:trPr>
        <w:tc>
          <w:tcPr>
            <w:tcW w:w="567" w:type="dxa"/>
            <w:shd w:val="clear" w:color="auto" w:fill="D9D9D9"/>
            <w:vAlign w:val="center"/>
          </w:tcPr>
          <w:p w14:paraId="00000008" w14:textId="77777777" w:rsidR="000E5E6C" w:rsidRPr="006D70DF" w:rsidRDefault="00972C18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  <w:bookmarkStart w:id="4" w:name="_heading=h.f3c1c520qfl5" w:colFirst="0" w:colLast="0"/>
            <w:bookmarkEnd w:id="4"/>
            <w:r w:rsidRPr="006D70DF">
              <w:rPr>
                <w:b/>
                <w:bCs/>
                <w:sz w:val="22"/>
                <w:szCs w:val="22"/>
              </w:rPr>
              <w:t>L.p.</w:t>
            </w:r>
          </w:p>
        </w:tc>
        <w:tc>
          <w:tcPr>
            <w:tcW w:w="7983" w:type="dxa"/>
            <w:gridSpan w:val="2"/>
            <w:shd w:val="clear" w:color="auto" w:fill="D9D9D9"/>
            <w:vAlign w:val="center"/>
          </w:tcPr>
          <w:p w14:paraId="00000009" w14:textId="77777777" w:rsidR="000E5E6C" w:rsidRPr="006D70DF" w:rsidRDefault="00972C18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  <w:r w:rsidRPr="006D70DF">
              <w:rPr>
                <w:b/>
                <w:bCs/>
                <w:sz w:val="22"/>
                <w:szCs w:val="22"/>
              </w:rPr>
              <w:t>Wymagania minimalne Zamawiającego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0000000B" w14:textId="77777777" w:rsidR="000E5E6C" w:rsidRPr="006D70DF" w:rsidRDefault="00972C18">
            <w:pPr>
              <w:spacing w:after="0"/>
              <w:ind w:left="96" w:firstLine="90"/>
              <w:jc w:val="center"/>
              <w:rPr>
                <w:b/>
                <w:bCs/>
                <w:sz w:val="22"/>
                <w:szCs w:val="22"/>
              </w:rPr>
            </w:pPr>
            <w:r w:rsidRPr="006D70DF">
              <w:rPr>
                <w:b/>
                <w:bCs/>
                <w:sz w:val="22"/>
                <w:szCs w:val="22"/>
              </w:rPr>
              <w:t>Parametr wymagany</w:t>
            </w:r>
          </w:p>
        </w:tc>
        <w:tc>
          <w:tcPr>
            <w:tcW w:w="4275" w:type="dxa"/>
            <w:shd w:val="clear" w:color="auto" w:fill="D9D9D9"/>
            <w:vAlign w:val="center"/>
          </w:tcPr>
          <w:p w14:paraId="0000000C" w14:textId="77777777" w:rsidR="000E5E6C" w:rsidRPr="006D70DF" w:rsidRDefault="00972C18">
            <w:pPr>
              <w:spacing w:after="0"/>
              <w:ind w:left="96" w:firstLine="90"/>
              <w:jc w:val="center"/>
              <w:rPr>
                <w:b/>
                <w:bCs/>
                <w:sz w:val="22"/>
                <w:szCs w:val="22"/>
              </w:rPr>
            </w:pPr>
            <w:r w:rsidRPr="006D70DF">
              <w:rPr>
                <w:b/>
                <w:bCs/>
                <w:sz w:val="22"/>
                <w:szCs w:val="22"/>
              </w:rPr>
              <w:t xml:space="preserve">Parametr oferowany </w:t>
            </w:r>
          </w:p>
          <w:p w14:paraId="0000000D" w14:textId="77777777" w:rsidR="000E5E6C" w:rsidRPr="006D70DF" w:rsidRDefault="00972C18">
            <w:pPr>
              <w:spacing w:after="0"/>
              <w:ind w:left="96" w:firstLine="90"/>
              <w:jc w:val="center"/>
              <w:rPr>
                <w:b/>
                <w:bCs/>
                <w:sz w:val="22"/>
                <w:szCs w:val="22"/>
              </w:rPr>
            </w:pPr>
            <w:r w:rsidRPr="006D70DF">
              <w:rPr>
                <w:b/>
                <w:bCs/>
                <w:sz w:val="22"/>
                <w:szCs w:val="22"/>
              </w:rPr>
              <w:t>Odpowiedź: TAK (będąca potwierdzeniem spełnienia parametru określonego w kolumnie nr 2 ) lub krótki opis (wg kolumny nr 3 )</w:t>
            </w:r>
          </w:p>
        </w:tc>
      </w:tr>
      <w:tr w:rsidR="000E5E6C" w:rsidRPr="006D70DF" w14:paraId="2ACF4AE4" w14:textId="77777777">
        <w:trPr>
          <w:trHeight w:val="360"/>
        </w:trPr>
        <w:tc>
          <w:tcPr>
            <w:tcW w:w="567" w:type="dxa"/>
            <w:shd w:val="clear" w:color="auto" w:fill="D9D9D9"/>
            <w:vAlign w:val="center"/>
          </w:tcPr>
          <w:p w14:paraId="0000000E" w14:textId="77777777" w:rsidR="000E5E6C" w:rsidRPr="006D70DF" w:rsidRDefault="000E5E6C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7983" w:type="dxa"/>
            <w:gridSpan w:val="2"/>
            <w:shd w:val="clear" w:color="auto" w:fill="D9D9D9"/>
            <w:vAlign w:val="center"/>
          </w:tcPr>
          <w:p w14:paraId="0000000F" w14:textId="77777777" w:rsidR="000E5E6C" w:rsidRPr="006D70DF" w:rsidRDefault="00972C18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  <w:r w:rsidRPr="006D70DF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350" w:type="dxa"/>
            <w:shd w:val="clear" w:color="auto" w:fill="D9D9D9"/>
            <w:vAlign w:val="center"/>
          </w:tcPr>
          <w:p w14:paraId="00000011" w14:textId="77777777" w:rsidR="000E5E6C" w:rsidRPr="006D70DF" w:rsidRDefault="00972C18">
            <w:pPr>
              <w:spacing w:after="0"/>
              <w:ind w:left="96" w:firstLine="90"/>
              <w:jc w:val="center"/>
              <w:rPr>
                <w:b/>
                <w:bCs/>
                <w:sz w:val="22"/>
                <w:szCs w:val="22"/>
              </w:rPr>
            </w:pPr>
            <w:r w:rsidRPr="006D70DF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4275" w:type="dxa"/>
            <w:shd w:val="clear" w:color="auto" w:fill="D9D9D9"/>
            <w:vAlign w:val="center"/>
          </w:tcPr>
          <w:p w14:paraId="00000012" w14:textId="77777777" w:rsidR="000E5E6C" w:rsidRPr="006D70DF" w:rsidRDefault="00972C18">
            <w:pPr>
              <w:spacing w:after="0"/>
              <w:ind w:left="96" w:firstLine="90"/>
              <w:jc w:val="center"/>
              <w:rPr>
                <w:b/>
                <w:bCs/>
                <w:sz w:val="22"/>
                <w:szCs w:val="22"/>
              </w:rPr>
            </w:pPr>
            <w:r w:rsidRPr="006D70DF">
              <w:rPr>
                <w:b/>
                <w:bCs/>
                <w:sz w:val="22"/>
                <w:szCs w:val="22"/>
              </w:rPr>
              <w:t>4</w:t>
            </w:r>
          </w:p>
        </w:tc>
      </w:tr>
      <w:tr w:rsidR="000E5E6C" w:rsidRPr="006D70DF" w14:paraId="6D78D8CE" w14:textId="77777777">
        <w:trPr>
          <w:trHeight w:val="345"/>
        </w:trPr>
        <w:tc>
          <w:tcPr>
            <w:tcW w:w="567" w:type="dxa"/>
            <w:vAlign w:val="center"/>
          </w:tcPr>
          <w:p w14:paraId="00000013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7983" w:type="dxa"/>
            <w:gridSpan w:val="2"/>
            <w:vAlign w:val="center"/>
          </w:tcPr>
          <w:p w14:paraId="00000014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Producent, marka, model</w:t>
            </w:r>
          </w:p>
        </w:tc>
        <w:tc>
          <w:tcPr>
            <w:tcW w:w="1350" w:type="dxa"/>
            <w:vAlign w:val="center"/>
          </w:tcPr>
          <w:p w14:paraId="00000016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17" w14:textId="77777777" w:rsidR="000E5E6C" w:rsidRPr="006D70DF" w:rsidRDefault="000E5E6C">
            <w:pPr>
              <w:spacing w:after="0"/>
              <w:rPr>
                <w:sz w:val="22"/>
                <w:szCs w:val="22"/>
              </w:rPr>
            </w:pPr>
          </w:p>
        </w:tc>
      </w:tr>
      <w:tr w:rsidR="000E5E6C" w:rsidRPr="006D70DF" w14:paraId="502237B8" w14:textId="77777777">
        <w:trPr>
          <w:trHeight w:val="345"/>
        </w:trPr>
        <w:tc>
          <w:tcPr>
            <w:tcW w:w="567" w:type="dxa"/>
            <w:vAlign w:val="center"/>
          </w:tcPr>
          <w:p w14:paraId="00000018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7983" w:type="dxa"/>
            <w:gridSpan w:val="2"/>
            <w:vAlign w:val="center"/>
          </w:tcPr>
          <w:p w14:paraId="00000019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Kraj pochodzenia</w:t>
            </w:r>
          </w:p>
        </w:tc>
        <w:tc>
          <w:tcPr>
            <w:tcW w:w="1350" w:type="dxa"/>
            <w:vAlign w:val="center"/>
          </w:tcPr>
          <w:p w14:paraId="0000001B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1C" w14:textId="77777777" w:rsidR="000E5E6C" w:rsidRPr="006D70DF" w:rsidRDefault="000E5E6C">
            <w:pPr>
              <w:spacing w:after="0"/>
              <w:rPr>
                <w:sz w:val="22"/>
                <w:szCs w:val="22"/>
              </w:rPr>
            </w:pPr>
          </w:p>
        </w:tc>
      </w:tr>
      <w:tr w:rsidR="000E5E6C" w:rsidRPr="006D70DF" w14:paraId="4BC06270" w14:textId="77777777">
        <w:trPr>
          <w:trHeight w:val="345"/>
        </w:trPr>
        <w:tc>
          <w:tcPr>
            <w:tcW w:w="567" w:type="dxa"/>
            <w:vAlign w:val="center"/>
          </w:tcPr>
          <w:p w14:paraId="0000001D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7983" w:type="dxa"/>
            <w:gridSpan w:val="2"/>
            <w:vAlign w:val="center"/>
          </w:tcPr>
          <w:p w14:paraId="0000001E" w14:textId="77777777" w:rsidR="000E5E6C" w:rsidRPr="006D70DF" w:rsidRDefault="00972C18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Oferowana macierz dyskowa jest fabrycznie nowa, wolna od wad fizycznych i prawnych oraz wyprodukowana nie wcześniej niż 12 miesięcy przed datą dostarczenia do Zamawiającego. </w:t>
            </w:r>
          </w:p>
        </w:tc>
        <w:tc>
          <w:tcPr>
            <w:tcW w:w="1350" w:type="dxa"/>
            <w:vAlign w:val="center"/>
          </w:tcPr>
          <w:p w14:paraId="00000020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21" w14:textId="77777777" w:rsidR="000E5E6C" w:rsidRPr="006D70DF" w:rsidRDefault="00972C18">
            <w:pPr>
              <w:spacing w:after="0"/>
              <w:jc w:val="center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…………………………………………………………</w:t>
            </w:r>
          </w:p>
          <w:p w14:paraId="00000022" w14:textId="77777777" w:rsidR="000E5E6C" w:rsidRPr="006D70DF" w:rsidRDefault="00972C18">
            <w:pPr>
              <w:spacing w:after="0"/>
              <w:jc w:val="center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podać rok i miesiąc produkcji macierzy</w:t>
            </w:r>
          </w:p>
        </w:tc>
      </w:tr>
      <w:tr w:rsidR="000E5E6C" w:rsidRPr="006D70DF" w14:paraId="2E8D3F4D" w14:textId="77777777">
        <w:trPr>
          <w:trHeight w:val="345"/>
        </w:trPr>
        <w:tc>
          <w:tcPr>
            <w:tcW w:w="567" w:type="dxa"/>
            <w:vAlign w:val="center"/>
          </w:tcPr>
          <w:p w14:paraId="00000023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14:paraId="00000024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Typ obudowy</w:t>
            </w:r>
          </w:p>
        </w:tc>
        <w:tc>
          <w:tcPr>
            <w:tcW w:w="6565" w:type="dxa"/>
            <w:vAlign w:val="center"/>
          </w:tcPr>
          <w:p w14:paraId="00000025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jest przystosowana do montażu w szafie </w:t>
            </w:r>
            <w:proofErr w:type="spellStart"/>
            <w:r w:rsidRPr="006D70DF">
              <w:rPr>
                <w:sz w:val="22"/>
                <w:szCs w:val="22"/>
              </w:rPr>
              <w:t>rack</w:t>
            </w:r>
            <w:proofErr w:type="spellEnd"/>
            <w:r w:rsidRPr="006D70DF">
              <w:rPr>
                <w:sz w:val="22"/>
                <w:szCs w:val="22"/>
              </w:rPr>
              <w:t xml:space="preserve"> 19”. </w:t>
            </w:r>
          </w:p>
        </w:tc>
        <w:tc>
          <w:tcPr>
            <w:tcW w:w="1350" w:type="dxa"/>
            <w:vAlign w:val="center"/>
          </w:tcPr>
          <w:p w14:paraId="00000026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27" w14:textId="77777777" w:rsidR="000E5E6C" w:rsidRPr="006D70DF" w:rsidRDefault="000E5E6C">
            <w:pPr>
              <w:spacing w:after="0"/>
              <w:rPr>
                <w:sz w:val="22"/>
                <w:szCs w:val="22"/>
              </w:rPr>
            </w:pPr>
          </w:p>
        </w:tc>
      </w:tr>
      <w:tr w:rsidR="000E5E6C" w:rsidRPr="006D70DF" w14:paraId="7BC233ED" w14:textId="77777777">
        <w:trPr>
          <w:trHeight w:val="690"/>
        </w:trPr>
        <w:tc>
          <w:tcPr>
            <w:tcW w:w="567" w:type="dxa"/>
            <w:vMerge w:val="restart"/>
            <w:vAlign w:val="center"/>
          </w:tcPr>
          <w:p w14:paraId="00000028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29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Przestrzeń dyskowa</w:t>
            </w:r>
          </w:p>
        </w:tc>
        <w:tc>
          <w:tcPr>
            <w:tcW w:w="6565" w:type="dxa"/>
            <w:vAlign w:val="center"/>
          </w:tcPr>
          <w:p w14:paraId="0000002A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jest wyposażona w minimum 14 dysków </w:t>
            </w:r>
            <w:proofErr w:type="spellStart"/>
            <w:r w:rsidRPr="006D70DF">
              <w:rPr>
                <w:sz w:val="22"/>
                <w:szCs w:val="22"/>
              </w:rPr>
              <w:t>NVMe</w:t>
            </w:r>
            <w:proofErr w:type="spellEnd"/>
            <w:r w:rsidRPr="006D70DF">
              <w:rPr>
                <w:sz w:val="22"/>
                <w:szCs w:val="22"/>
              </w:rPr>
              <w:t xml:space="preserve"> o pojemności nie mniejszej niż 7.68 TB każdy. Nie dopuszcza się stosowania protokołu innego niż </w:t>
            </w:r>
            <w:proofErr w:type="spellStart"/>
            <w:r w:rsidRPr="006D70DF">
              <w:rPr>
                <w:sz w:val="22"/>
                <w:szCs w:val="22"/>
              </w:rPr>
              <w:t>NVMe</w:t>
            </w:r>
            <w:proofErr w:type="spellEnd"/>
            <w:r w:rsidRPr="006D70DF">
              <w:rPr>
                <w:sz w:val="22"/>
                <w:szCs w:val="22"/>
              </w:rPr>
              <w:t xml:space="preserve"> do obsługi dysków w macierzy.</w:t>
            </w:r>
          </w:p>
        </w:tc>
        <w:tc>
          <w:tcPr>
            <w:tcW w:w="1350" w:type="dxa"/>
            <w:vAlign w:val="center"/>
          </w:tcPr>
          <w:p w14:paraId="0000002B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2C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644F0BD3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2D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2E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2F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udostępnia co najmniej 75 TB pojemności użytecznej bez uwzględniania mechanizmów </w:t>
            </w:r>
            <w:proofErr w:type="spellStart"/>
            <w:r w:rsidRPr="006D70DF">
              <w:rPr>
                <w:sz w:val="22"/>
                <w:szCs w:val="22"/>
              </w:rPr>
              <w:t>deduplikacji</w:t>
            </w:r>
            <w:proofErr w:type="spellEnd"/>
            <w:r w:rsidRPr="006D70DF">
              <w:rPr>
                <w:sz w:val="22"/>
                <w:szCs w:val="22"/>
              </w:rPr>
              <w:t xml:space="preserve"> i kompresji zabezpieczonej RAID 6 z wraz z przestrzenią/dyskami SPARE</w:t>
            </w:r>
          </w:p>
        </w:tc>
        <w:tc>
          <w:tcPr>
            <w:tcW w:w="1350" w:type="dxa"/>
            <w:vAlign w:val="center"/>
          </w:tcPr>
          <w:p w14:paraId="00000030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31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478579E4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32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33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34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ma możliwość obsługi co najmniej 670 </w:t>
            </w:r>
            <w:proofErr w:type="spellStart"/>
            <w:r w:rsidRPr="006D70DF">
              <w:rPr>
                <w:sz w:val="22"/>
                <w:szCs w:val="22"/>
              </w:rPr>
              <w:t>TiB</w:t>
            </w:r>
            <w:proofErr w:type="spellEnd"/>
            <w:r w:rsidRPr="006D70DF">
              <w:rPr>
                <w:sz w:val="22"/>
                <w:szCs w:val="22"/>
              </w:rPr>
              <w:t xml:space="preserve"> pojemności surowej (</w:t>
            </w:r>
            <w:proofErr w:type="spellStart"/>
            <w:r w:rsidRPr="006D70DF">
              <w:rPr>
                <w:sz w:val="22"/>
                <w:szCs w:val="22"/>
              </w:rPr>
              <w:t>raw</w:t>
            </w:r>
            <w:proofErr w:type="spellEnd"/>
            <w:r w:rsidRPr="006D70DF">
              <w:rPr>
                <w:sz w:val="22"/>
                <w:szCs w:val="22"/>
              </w:rPr>
              <w:t xml:space="preserve">) na dyskach </w:t>
            </w:r>
            <w:proofErr w:type="spellStart"/>
            <w:r w:rsidRPr="006D70DF">
              <w:rPr>
                <w:sz w:val="22"/>
                <w:szCs w:val="22"/>
              </w:rPr>
              <w:t>NVMe</w:t>
            </w:r>
            <w:proofErr w:type="spellEnd"/>
            <w:r w:rsidRPr="006D70DF">
              <w:rPr>
                <w:sz w:val="22"/>
                <w:szCs w:val="22"/>
              </w:rPr>
              <w:t>.</w:t>
            </w:r>
          </w:p>
        </w:tc>
        <w:tc>
          <w:tcPr>
            <w:tcW w:w="1350" w:type="dxa"/>
            <w:vAlign w:val="center"/>
          </w:tcPr>
          <w:p w14:paraId="00000035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36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66A1EA4E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37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38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39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Istnieje możliwość dalszego skalowania pojemności oraz wydajności macierzy (np. zmiana kontrolerów, rozbudowa o dodatkowe półki dyskowe).</w:t>
            </w:r>
          </w:p>
        </w:tc>
        <w:tc>
          <w:tcPr>
            <w:tcW w:w="1350" w:type="dxa"/>
            <w:vAlign w:val="center"/>
          </w:tcPr>
          <w:p w14:paraId="0000003A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3B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6CA6A14D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3C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3D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3E" w14:textId="77777777" w:rsidR="000E5E6C" w:rsidRPr="006D70DF" w:rsidRDefault="00972C18">
            <w:pPr>
              <w:spacing w:after="0"/>
              <w:jc w:val="both"/>
              <w:rPr>
                <w:rFonts w:eastAsia="Aptos"/>
                <w:sz w:val="22"/>
                <w:szCs w:val="22"/>
              </w:rPr>
            </w:pPr>
            <w:r w:rsidRPr="006D70DF">
              <w:rPr>
                <w:rFonts w:eastAsia="Aptos"/>
                <w:b/>
                <w:bCs/>
                <w:sz w:val="22"/>
                <w:szCs w:val="22"/>
                <w:u w:val="single"/>
              </w:rPr>
              <w:t>Kryterium punktowane:</w:t>
            </w:r>
            <w:r w:rsidRPr="006D70DF">
              <w:rPr>
                <w:rFonts w:eastAsia="Aptos"/>
                <w:sz w:val="22"/>
                <w:szCs w:val="22"/>
              </w:rPr>
              <w:t xml:space="preserve"> </w:t>
            </w:r>
            <w:r w:rsidRPr="006D70DF">
              <w:rPr>
                <w:sz w:val="22"/>
                <w:szCs w:val="22"/>
              </w:rPr>
              <w:t xml:space="preserve">Macierz umożliwia rozbudowę do minimum 72 dysków SSD </w:t>
            </w:r>
            <w:proofErr w:type="spellStart"/>
            <w:r w:rsidRPr="006D70DF">
              <w:rPr>
                <w:sz w:val="22"/>
                <w:szCs w:val="22"/>
              </w:rPr>
              <w:t>NVMe</w:t>
            </w:r>
            <w:proofErr w:type="spellEnd"/>
            <w:r w:rsidRPr="006D70DF">
              <w:rPr>
                <w:sz w:val="22"/>
                <w:szCs w:val="22"/>
              </w:rPr>
              <w:t>, dołączanych redundantnie za pomocą interfejsów min. 100Gb z wykorzystaniem RoCEv2. (Należy podać “TAK” – 20 pkt lub “NIE” – 0 pkt)</w:t>
            </w:r>
          </w:p>
        </w:tc>
        <w:tc>
          <w:tcPr>
            <w:tcW w:w="1350" w:type="dxa"/>
            <w:vAlign w:val="center"/>
          </w:tcPr>
          <w:p w14:paraId="0000003F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podać</w:t>
            </w:r>
          </w:p>
        </w:tc>
        <w:tc>
          <w:tcPr>
            <w:tcW w:w="4275" w:type="dxa"/>
            <w:vAlign w:val="center"/>
          </w:tcPr>
          <w:p w14:paraId="00000040" w14:textId="77777777" w:rsidR="000E5E6C" w:rsidRPr="006D70DF" w:rsidRDefault="00972C18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  <w:r w:rsidRPr="006D70DF">
              <w:rPr>
                <w:b/>
                <w:bCs/>
                <w:sz w:val="22"/>
                <w:szCs w:val="22"/>
              </w:rPr>
              <w:t>…………………………………………………………</w:t>
            </w:r>
          </w:p>
          <w:p w14:paraId="00000041" w14:textId="77B34D92" w:rsidR="00972C18" w:rsidRPr="006D70DF" w:rsidRDefault="00972C18" w:rsidP="00353ED0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  <w:r w:rsidRPr="006D70DF">
              <w:rPr>
                <w:b/>
                <w:bCs/>
                <w:sz w:val="22"/>
                <w:szCs w:val="22"/>
              </w:rPr>
              <w:t>kryterium punktowane</w:t>
            </w:r>
          </w:p>
        </w:tc>
      </w:tr>
      <w:tr w:rsidR="000E5E6C" w:rsidRPr="006D70DF" w14:paraId="4F87078D" w14:textId="77777777">
        <w:trPr>
          <w:trHeight w:val="180"/>
        </w:trPr>
        <w:tc>
          <w:tcPr>
            <w:tcW w:w="567" w:type="dxa"/>
            <w:vAlign w:val="center"/>
          </w:tcPr>
          <w:p w14:paraId="00000042" w14:textId="77777777" w:rsidR="000E5E6C" w:rsidRPr="006D70DF" w:rsidRDefault="000E5E6C" w:rsidP="00353ED0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14:paraId="00000043" w14:textId="77777777" w:rsidR="000E5E6C" w:rsidRPr="006D70DF" w:rsidRDefault="000E5E6C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44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Oferowana konfiguracja dyskowa musi oferować wydajność min. 220k IOPS przy bloku 16kB </w:t>
            </w:r>
            <w:proofErr w:type="spellStart"/>
            <w:r w:rsidRPr="006D70DF">
              <w:rPr>
                <w:sz w:val="22"/>
                <w:szCs w:val="22"/>
              </w:rPr>
              <w:t>Random</w:t>
            </w:r>
            <w:proofErr w:type="spellEnd"/>
            <w:r w:rsidRPr="006D70DF">
              <w:rPr>
                <w:sz w:val="22"/>
                <w:szCs w:val="22"/>
              </w:rPr>
              <w:t xml:space="preserve"> 80/20 R/W oraz włączonej redukcji danych (</w:t>
            </w:r>
            <w:proofErr w:type="spellStart"/>
            <w:r w:rsidRPr="006D70DF">
              <w:rPr>
                <w:sz w:val="22"/>
                <w:szCs w:val="22"/>
              </w:rPr>
              <w:t>deduplikacja</w:t>
            </w:r>
            <w:proofErr w:type="spellEnd"/>
            <w:r w:rsidRPr="006D70DF">
              <w:rPr>
                <w:sz w:val="22"/>
                <w:szCs w:val="22"/>
              </w:rPr>
              <w:t xml:space="preserve"> i kompresja).</w:t>
            </w:r>
          </w:p>
          <w:p w14:paraId="00000045" w14:textId="77777777" w:rsidR="000E5E6C" w:rsidRPr="006D70DF" w:rsidRDefault="00972C18">
            <w:pPr>
              <w:spacing w:after="0"/>
              <w:jc w:val="both"/>
              <w:rPr>
                <w:rFonts w:eastAsia="Aptos"/>
                <w:b/>
                <w:bCs/>
                <w:color w:val="FF0000"/>
                <w:sz w:val="22"/>
                <w:szCs w:val="22"/>
                <w:u w:val="single"/>
              </w:rPr>
            </w:pPr>
            <w:r w:rsidRPr="006D70DF">
              <w:rPr>
                <w:sz w:val="22"/>
                <w:szCs w:val="22"/>
              </w:rPr>
              <w:t>Wykonawca w celu potwierdzenia parametru przedstawi raport z narzędzia konfiguracyjnego producenta lub wynik niezależnego testu wydajnościowego (np. SPC-1) dla oferowanego modelu.</w:t>
            </w:r>
          </w:p>
        </w:tc>
        <w:tc>
          <w:tcPr>
            <w:tcW w:w="1350" w:type="dxa"/>
            <w:vAlign w:val="center"/>
          </w:tcPr>
          <w:p w14:paraId="00000046" w14:textId="151B58FF" w:rsidR="000E5E6C" w:rsidRPr="006D70DF" w:rsidRDefault="00353ED0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47" w14:textId="77777777" w:rsidR="000E5E6C" w:rsidRPr="006D70DF" w:rsidRDefault="000E5E6C">
            <w:pPr>
              <w:spacing w:after="0"/>
              <w:jc w:val="center"/>
              <w:rPr>
                <w:sz w:val="22"/>
                <w:szCs w:val="22"/>
              </w:rPr>
            </w:pPr>
          </w:p>
        </w:tc>
      </w:tr>
      <w:tr w:rsidR="000E5E6C" w:rsidRPr="006D70DF" w14:paraId="0A397A60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48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49" w14:textId="77777777" w:rsidR="000E5E6C" w:rsidRPr="006D70DF" w:rsidRDefault="00972C18">
            <w:pPr>
              <w:spacing w:after="0"/>
              <w:rPr>
                <w:color w:val="FF0000"/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Sposób zabezpieczenia danych</w:t>
            </w:r>
          </w:p>
        </w:tc>
        <w:tc>
          <w:tcPr>
            <w:tcW w:w="6565" w:type="dxa"/>
            <w:vAlign w:val="center"/>
          </w:tcPr>
          <w:p w14:paraId="0000004A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posiada mechanizm RAID zabezpieczający przed utratą spójności danych w przypadku jednoczesnej awarii dwóch dowolnych dysków. Mechanizm realizowany sprzętowo za pomocą dedykowanego układu z wykorzystaniem puli wszystkich dysków twardych (tzw. </w:t>
            </w:r>
            <w:proofErr w:type="spellStart"/>
            <w:r w:rsidRPr="006D70DF">
              <w:rPr>
                <w:sz w:val="22"/>
                <w:szCs w:val="22"/>
              </w:rPr>
              <w:t>wide-striping</w:t>
            </w:r>
            <w:proofErr w:type="spellEnd"/>
            <w:r w:rsidRPr="006D70DF">
              <w:rPr>
                <w:sz w:val="22"/>
                <w:szCs w:val="22"/>
              </w:rPr>
              <w:t>).</w:t>
            </w:r>
          </w:p>
        </w:tc>
        <w:tc>
          <w:tcPr>
            <w:tcW w:w="1350" w:type="dxa"/>
            <w:vAlign w:val="center"/>
          </w:tcPr>
          <w:p w14:paraId="0000004B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4C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5A1879A8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4D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4E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50" w14:textId="3117BAB9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Rozłożenie dysków w macierzy zapewnia redundancję pozwalającą na nieprzerwaną pracę i dostęp do wszystkich danych w sytuacji awarii </w:t>
            </w:r>
            <w:r w:rsidRPr="006D70DF">
              <w:rPr>
                <w:sz w:val="22"/>
                <w:szCs w:val="22"/>
              </w:rPr>
              <w:lastRenderedPageBreak/>
              <w:t>pojedynczego komponentu sprzętowego typu: dysk, port, kontroler, zasilacz, kabel.</w:t>
            </w:r>
          </w:p>
        </w:tc>
        <w:tc>
          <w:tcPr>
            <w:tcW w:w="1350" w:type="dxa"/>
            <w:vAlign w:val="center"/>
          </w:tcPr>
          <w:p w14:paraId="00000051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lastRenderedPageBreak/>
              <w:t>TAK</w:t>
            </w:r>
          </w:p>
        </w:tc>
        <w:tc>
          <w:tcPr>
            <w:tcW w:w="4275" w:type="dxa"/>
            <w:vAlign w:val="center"/>
          </w:tcPr>
          <w:p w14:paraId="00000052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7800187D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53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54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55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Macierz umożliwia definiowanie dysków „</w:t>
            </w:r>
            <w:proofErr w:type="spellStart"/>
            <w:r w:rsidRPr="006D70DF">
              <w:rPr>
                <w:sz w:val="22"/>
                <w:szCs w:val="22"/>
              </w:rPr>
              <w:t>spare</w:t>
            </w:r>
            <w:proofErr w:type="spellEnd"/>
            <w:r w:rsidRPr="006D70DF">
              <w:rPr>
                <w:sz w:val="22"/>
                <w:szCs w:val="22"/>
              </w:rPr>
              <w:t>” lub odpowiadającej im przestrzeni dyskowej „</w:t>
            </w:r>
            <w:proofErr w:type="spellStart"/>
            <w:r w:rsidRPr="006D70DF">
              <w:rPr>
                <w:sz w:val="22"/>
                <w:szCs w:val="22"/>
              </w:rPr>
              <w:t>spare</w:t>
            </w:r>
            <w:proofErr w:type="spellEnd"/>
            <w:r w:rsidRPr="006D70DF">
              <w:rPr>
                <w:sz w:val="22"/>
                <w:szCs w:val="22"/>
              </w:rPr>
              <w:t>”.</w:t>
            </w:r>
          </w:p>
        </w:tc>
        <w:tc>
          <w:tcPr>
            <w:tcW w:w="1350" w:type="dxa"/>
            <w:vAlign w:val="center"/>
          </w:tcPr>
          <w:p w14:paraId="00000056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57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36B87A48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58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59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5A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Wymagane zabezpieczenie minimum RAID-6.</w:t>
            </w:r>
          </w:p>
        </w:tc>
        <w:tc>
          <w:tcPr>
            <w:tcW w:w="1350" w:type="dxa"/>
            <w:vAlign w:val="center"/>
          </w:tcPr>
          <w:p w14:paraId="0000005B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5C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5E37F432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5D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5E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Kontrolery macierzowe</w:t>
            </w:r>
          </w:p>
        </w:tc>
        <w:tc>
          <w:tcPr>
            <w:tcW w:w="6565" w:type="dxa"/>
            <w:vAlign w:val="center"/>
          </w:tcPr>
          <w:p w14:paraId="0000005F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</w:t>
            </w:r>
            <w:proofErr w:type="spellStart"/>
            <w:r w:rsidRPr="006D70DF">
              <w:rPr>
                <w:sz w:val="22"/>
                <w:szCs w:val="22"/>
              </w:rPr>
              <w:t>All-NVMe</w:t>
            </w:r>
            <w:proofErr w:type="spellEnd"/>
            <w:r w:rsidRPr="006D70DF">
              <w:rPr>
                <w:sz w:val="22"/>
                <w:szCs w:val="22"/>
              </w:rPr>
              <w:t xml:space="preserve"> wyposażona w minimum 2 kontrolery macierzowe obsługujące protokoły blokowe i pracujące w trybie ALUA (</w:t>
            </w:r>
            <w:proofErr w:type="spellStart"/>
            <w:r w:rsidRPr="006D70DF">
              <w:rPr>
                <w:sz w:val="22"/>
                <w:szCs w:val="22"/>
              </w:rPr>
              <w:t>Asymmetric</w:t>
            </w:r>
            <w:proofErr w:type="spellEnd"/>
            <w:r w:rsidRPr="006D70DF">
              <w:rPr>
                <w:sz w:val="22"/>
                <w:szCs w:val="22"/>
              </w:rPr>
              <w:t xml:space="preserve"> </w:t>
            </w:r>
            <w:proofErr w:type="spellStart"/>
            <w:r w:rsidRPr="006D70DF">
              <w:rPr>
                <w:sz w:val="22"/>
                <w:szCs w:val="22"/>
              </w:rPr>
              <w:t>Logical</w:t>
            </w:r>
            <w:proofErr w:type="spellEnd"/>
            <w:r w:rsidRPr="006D70DF">
              <w:rPr>
                <w:sz w:val="22"/>
                <w:szCs w:val="22"/>
              </w:rPr>
              <w:t xml:space="preserve"> Unit Access). Oba kontrolery muszą jednocześnie aktywnie obsługiwać wolumeny. Oprogramowanie macierzy rozkłada obsługę wolumenów pomiędzy kontrolery i dążyć do ich równomiernego obciążenia.</w:t>
            </w:r>
          </w:p>
        </w:tc>
        <w:tc>
          <w:tcPr>
            <w:tcW w:w="1350" w:type="dxa"/>
            <w:vAlign w:val="center"/>
          </w:tcPr>
          <w:p w14:paraId="00000060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61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4B79BCB7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62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63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64" w14:textId="7526FF71" w:rsidR="000E5E6C" w:rsidRPr="006D70DF" w:rsidRDefault="006D70DF">
            <w:pPr>
              <w:spacing w:after="0"/>
              <w:jc w:val="both"/>
              <w:rPr>
                <w:sz w:val="22"/>
                <w:szCs w:val="22"/>
              </w:rPr>
            </w:pPr>
            <w:sdt>
              <w:sdtPr>
                <w:rPr>
                  <w:sz w:val="22"/>
                  <w:szCs w:val="22"/>
                </w:rPr>
                <w:tag w:val="goog_rdk_0"/>
                <w:id w:val="-111411876"/>
              </w:sdtPr>
              <w:sdtEndPr/>
              <w:sdtContent/>
            </w:sdt>
            <w:r w:rsidR="00972C18" w:rsidRPr="006D70DF">
              <w:rPr>
                <w:sz w:val="22"/>
                <w:szCs w:val="22"/>
              </w:rPr>
              <w:t>Każdy z kontrolerów jest wyposażony w wielordzeniowe procesory x86 (każdy w minimum 16 fizycznych rdzeni). Z uwagi na konieczność zachowania kompatybilności z systemami operacyjnymi oraz aplikacjami występującymi w środowisku Zamawiającego, a listą rozkazów obsługiwanych przez procesory zainstalowane w oferowanym rozwiązaniu</w:t>
            </w:r>
            <w:r w:rsidR="00F35A2B" w:rsidRPr="006D70DF">
              <w:rPr>
                <w:sz w:val="22"/>
                <w:szCs w:val="22"/>
              </w:rPr>
              <w:t>.</w:t>
            </w:r>
          </w:p>
        </w:tc>
        <w:tc>
          <w:tcPr>
            <w:tcW w:w="1350" w:type="dxa"/>
            <w:vAlign w:val="center"/>
          </w:tcPr>
          <w:p w14:paraId="00000065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66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18498C07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67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68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69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Zastosowany procesor wspiera standard </w:t>
            </w:r>
            <w:proofErr w:type="spellStart"/>
            <w:r w:rsidRPr="006D70DF">
              <w:rPr>
                <w:sz w:val="22"/>
                <w:szCs w:val="22"/>
              </w:rPr>
              <w:t>PCIe</w:t>
            </w:r>
            <w:proofErr w:type="spellEnd"/>
            <w:r w:rsidRPr="006D70DF">
              <w:rPr>
                <w:sz w:val="22"/>
                <w:szCs w:val="22"/>
              </w:rPr>
              <w:t xml:space="preserve"> Gen4.</w:t>
            </w:r>
          </w:p>
        </w:tc>
        <w:tc>
          <w:tcPr>
            <w:tcW w:w="1350" w:type="dxa"/>
            <w:vAlign w:val="center"/>
          </w:tcPr>
          <w:p w14:paraId="0000006A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6B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588DB053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6C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6D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6E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Każdy kontroler posiada co najmniej 256GB pamięci RAM o szybkości 3200MT/s. </w:t>
            </w:r>
          </w:p>
        </w:tc>
        <w:tc>
          <w:tcPr>
            <w:tcW w:w="1350" w:type="dxa"/>
            <w:vAlign w:val="center"/>
          </w:tcPr>
          <w:p w14:paraId="0000006F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70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4EB23A71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71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72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73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Kontrolery obsługują protokół FC, </w:t>
            </w:r>
            <w:proofErr w:type="spellStart"/>
            <w:r w:rsidRPr="006D70DF">
              <w:rPr>
                <w:sz w:val="22"/>
                <w:szCs w:val="22"/>
              </w:rPr>
              <w:t>NVMeoF</w:t>
            </w:r>
            <w:proofErr w:type="spellEnd"/>
            <w:r w:rsidRPr="006D70DF">
              <w:rPr>
                <w:sz w:val="22"/>
                <w:szCs w:val="22"/>
              </w:rPr>
              <w:t>-FC na portach wystawionych do hostów (front-end).</w:t>
            </w:r>
          </w:p>
        </w:tc>
        <w:tc>
          <w:tcPr>
            <w:tcW w:w="1350" w:type="dxa"/>
            <w:vAlign w:val="center"/>
          </w:tcPr>
          <w:p w14:paraId="00000074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75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2678D62C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76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77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Interfejsy </w:t>
            </w:r>
          </w:p>
        </w:tc>
        <w:tc>
          <w:tcPr>
            <w:tcW w:w="6565" w:type="dxa"/>
            <w:vAlign w:val="center"/>
          </w:tcPr>
          <w:p w14:paraId="00000078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Macierz jest wyposażona w co najmniej 4 karty 4 portowe (po 2 karty na kontroler) 32Gb FC z kompletem wkładek 32Gb SW.</w:t>
            </w:r>
          </w:p>
        </w:tc>
        <w:tc>
          <w:tcPr>
            <w:tcW w:w="1350" w:type="dxa"/>
            <w:vAlign w:val="center"/>
          </w:tcPr>
          <w:p w14:paraId="00000079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7A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04BD16A7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7B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7C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7D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Istnieje możliwość wymiany wkładek na wkładki 64Gb FC SW</w:t>
            </w:r>
          </w:p>
        </w:tc>
        <w:tc>
          <w:tcPr>
            <w:tcW w:w="1350" w:type="dxa"/>
            <w:vAlign w:val="center"/>
          </w:tcPr>
          <w:p w14:paraId="0000007E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7F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651AAEC7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80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81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82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jest wyposażona w co najmniej </w:t>
            </w:r>
            <w:r w:rsidRPr="006D70DF">
              <w:rPr>
                <w:color w:val="000000"/>
                <w:sz w:val="22"/>
                <w:szCs w:val="22"/>
              </w:rPr>
              <w:t xml:space="preserve">2 porty (po 1 na kontroler) Ethernet min. 1Gb </w:t>
            </w:r>
            <w:proofErr w:type="spellStart"/>
            <w:r w:rsidRPr="006D70DF">
              <w:rPr>
                <w:color w:val="000000"/>
                <w:sz w:val="22"/>
                <w:szCs w:val="22"/>
              </w:rPr>
              <w:t>BaseT</w:t>
            </w:r>
            <w:proofErr w:type="spellEnd"/>
            <w:r w:rsidRPr="006D70DF">
              <w:rPr>
                <w:color w:val="000000"/>
                <w:sz w:val="22"/>
                <w:szCs w:val="22"/>
              </w:rPr>
              <w:t xml:space="preserve"> do zarządzania macierzą</w:t>
            </w:r>
          </w:p>
        </w:tc>
        <w:tc>
          <w:tcPr>
            <w:tcW w:w="1350" w:type="dxa"/>
            <w:vAlign w:val="center"/>
          </w:tcPr>
          <w:p w14:paraId="00000083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84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4BAFE547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85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86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Sposób zarządzania</w:t>
            </w:r>
          </w:p>
        </w:tc>
        <w:tc>
          <w:tcPr>
            <w:tcW w:w="6565" w:type="dxa"/>
            <w:vAlign w:val="center"/>
          </w:tcPr>
          <w:p w14:paraId="00000087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Zarządzanie macierzą dyskową jest możliwe z poziomu interfejsu graficznego oraz linii poleceń.</w:t>
            </w:r>
          </w:p>
        </w:tc>
        <w:tc>
          <w:tcPr>
            <w:tcW w:w="1350" w:type="dxa"/>
            <w:vAlign w:val="center"/>
          </w:tcPr>
          <w:p w14:paraId="00000088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89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35FBBE98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8A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8B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8C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Oprogramowanie do zarządzania pozwala na stałe monitorowanie stanu macierzy oraz umożliwia konfigurowanie jej zasobów dyskowych. </w:t>
            </w:r>
          </w:p>
        </w:tc>
        <w:tc>
          <w:tcPr>
            <w:tcW w:w="1350" w:type="dxa"/>
            <w:vAlign w:val="center"/>
          </w:tcPr>
          <w:p w14:paraId="0000008D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8E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15CB92FB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8F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90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91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Narzędzie pozwala na obserwację danych wydajnościowych oraz prezentację ich w postaci wykresów oraz czytelnych raportów. Wymagane jest monitorowanie bieżących parametrów pracy macierzy.</w:t>
            </w:r>
          </w:p>
        </w:tc>
        <w:tc>
          <w:tcPr>
            <w:tcW w:w="1350" w:type="dxa"/>
            <w:vAlign w:val="center"/>
          </w:tcPr>
          <w:p w14:paraId="00000092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93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3DD25EC8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94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95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Zarządzanie grupami dyskowymi oraz dyskami logicznymi</w:t>
            </w:r>
          </w:p>
        </w:tc>
        <w:tc>
          <w:tcPr>
            <w:tcW w:w="6565" w:type="dxa"/>
            <w:vAlign w:val="center"/>
          </w:tcPr>
          <w:p w14:paraId="00000096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Macierz zapewnia możliwość dynamicznego zwiększania pojemności wolumenów logicznych oraz wielkości grup dyskowych (przez dodanie dysków) z poziomu kontrolera macierzowego bez przerywania dostępu do danych.</w:t>
            </w:r>
          </w:p>
        </w:tc>
        <w:tc>
          <w:tcPr>
            <w:tcW w:w="1350" w:type="dxa"/>
            <w:vAlign w:val="center"/>
          </w:tcPr>
          <w:p w14:paraId="00000097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98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4A8AEFF4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99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9A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9B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Istnieje możliwość rozłożenia pojedynczego wolumenu logicznego na wszystkie dyski fizyczne macierzy (tzw. </w:t>
            </w:r>
            <w:proofErr w:type="spellStart"/>
            <w:r w:rsidRPr="006D70DF">
              <w:rPr>
                <w:sz w:val="22"/>
                <w:szCs w:val="22"/>
              </w:rPr>
              <w:t>wide-striping</w:t>
            </w:r>
            <w:proofErr w:type="spellEnd"/>
            <w:r w:rsidRPr="006D70DF">
              <w:rPr>
                <w:sz w:val="22"/>
                <w:szCs w:val="22"/>
              </w:rPr>
              <w:t>) bez konieczności łączenia wielu różnych dysków logicznych w jeden większy.</w:t>
            </w:r>
          </w:p>
        </w:tc>
        <w:tc>
          <w:tcPr>
            <w:tcW w:w="1350" w:type="dxa"/>
            <w:vAlign w:val="center"/>
          </w:tcPr>
          <w:p w14:paraId="0000009C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9D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4F24408D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9E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9F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proofErr w:type="spellStart"/>
            <w:r w:rsidRPr="006D70DF">
              <w:rPr>
                <w:sz w:val="22"/>
                <w:szCs w:val="22"/>
              </w:rPr>
              <w:t>Thin</w:t>
            </w:r>
            <w:proofErr w:type="spellEnd"/>
            <w:r w:rsidRPr="006D70DF">
              <w:rPr>
                <w:sz w:val="22"/>
                <w:szCs w:val="22"/>
              </w:rPr>
              <w:t xml:space="preserve"> </w:t>
            </w:r>
            <w:proofErr w:type="spellStart"/>
            <w:r w:rsidRPr="006D70DF">
              <w:rPr>
                <w:sz w:val="22"/>
                <w:szCs w:val="22"/>
              </w:rPr>
              <w:t>Provisioning</w:t>
            </w:r>
            <w:proofErr w:type="spellEnd"/>
          </w:p>
        </w:tc>
        <w:tc>
          <w:tcPr>
            <w:tcW w:w="6565" w:type="dxa"/>
            <w:vAlign w:val="center"/>
          </w:tcPr>
          <w:p w14:paraId="000000A0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umożliwia udostępnianie zasobów dyskowych do serwerów w trybie typu </w:t>
            </w:r>
            <w:proofErr w:type="spellStart"/>
            <w:r w:rsidRPr="006D70DF">
              <w:rPr>
                <w:sz w:val="22"/>
                <w:szCs w:val="22"/>
              </w:rPr>
              <w:t>Thin</w:t>
            </w:r>
            <w:proofErr w:type="spellEnd"/>
            <w:r w:rsidRPr="006D70DF">
              <w:rPr>
                <w:sz w:val="22"/>
                <w:szCs w:val="22"/>
              </w:rPr>
              <w:t xml:space="preserve"> </w:t>
            </w:r>
            <w:proofErr w:type="spellStart"/>
            <w:r w:rsidRPr="006D70DF">
              <w:rPr>
                <w:sz w:val="22"/>
                <w:szCs w:val="22"/>
              </w:rPr>
              <w:t>Provisioning</w:t>
            </w:r>
            <w:proofErr w:type="spellEnd"/>
            <w:r w:rsidRPr="006D70DF">
              <w:rPr>
                <w:sz w:val="22"/>
                <w:szCs w:val="22"/>
              </w:rPr>
              <w:t>.</w:t>
            </w:r>
          </w:p>
        </w:tc>
        <w:tc>
          <w:tcPr>
            <w:tcW w:w="1350" w:type="dxa"/>
            <w:vAlign w:val="center"/>
          </w:tcPr>
          <w:p w14:paraId="000000A1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A2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3CCD440E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A3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A4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A5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umożliwia odzyskiwanie przestrzeni dyskowych po usuniętych danych w ramach wolumenów typu </w:t>
            </w:r>
            <w:proofErr w:type="spellStart"/>
            <w:r w:rsidRPr="006D70DF">
              <w:rPr>
                <w:sz w:val="22"/>
                <w:szCs w:val="22"/>
              </w:rPr>
              <w:t>Thin</w:t>
            </w:r>
            <w:proofErr w:type="spellEnd"/>
            <w:r w:rsidRPr="006D70DF">
              <w:rPr>
                <w:sz w:val="22"/>
                <w:szCs w:val="22"/>
              </w:rPr>
              <w:t>. Proces odzyskiwania danych jest automatyczny bez konieczności uruchamiania dodatkowych procesów na kontrolerach macierzowych (wymagana obsługa standardu T10 SCSI UNMAP).</w:t>
            </w:r>
          </w:p>
        </w:tc>
        <w:tc>
          <w:tcPr>
            <w:tcW w:w="1350" w:type="dxa"/>
            <w:vAlign w:val="center"/>
          </w:tcPr>
          <w:p w14:paraId="000000A6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A7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29B896F8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A8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A9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Wewnętrzne kopie migawkowe</w:t>
            </w:r>
          </w:p>
        </w:tc>
        <w:tc>
          <w:tcPr>
            <w:tcW w:w="6565" w:type="dxa"/>
            <w:vAlign w:val="center"/>
          </w:tcPr>
          <w:p w14:paraId="000000AA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Macierz umożliwia dokonywanie na żądanie tzw. migawkowej kopii danych (</w:t>
            </w:r>
            <w:proofErr w:type="spellStart"/>
            <w:r w:rsidRPr="006D70DF">
              <w:rPr>
                <w:sz w:val="22"/>
                <w:szCs w:val="22"/>
              </w:rPr>
              <w:t>snapshot</w:t>
            </w:r>
            <w:proofErr w:type="spellEnd"/>
            <w:r w:rsidRPr="006D70DF">
              <w:rPr>
                <w:sz w:val="22"/>
                <w:szCs w:val="22"/>
              </w:rPr>
              <w:t>, point-in-</w:t>
            </w:r>
            <w:proofErr w:type="spellStart"/>
            <w:r w:rsidRPr="006D70DF">
              <w:rPr>
                <w:sz w:val="22"/>
                <w:szCs w:val="22"/>
              </w:rPr>
              <w:t>time</w:t>
            </w:r>
            <w:proofErr w:type="spellEnd"/>
            <w:r w:rsidRPr="006D70DF">
              <w:rPr>
                <w:sz w:val="22"/>
                <w:szCs w:val="22"/>
              </w:rPr>
              <w:t xml:space="preserve">) w ramach macierzy za pomocą wewnętrznych kontrolerów macierzowych. </w:t>
            </w:r>
          </w:p>
        </w:tc>
        <w:tc>
          <w:tcPr>
            <w:tcW w:w="1350" w:type="dxa"/>
            <w:vAlign w:val="center"/>
          </w:tcPr>
          <w:p w14:paraId="000000AB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AC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29845F51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AD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AE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AF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Kopia migawkowa wykonuje się bez konieczności wcześniejszego alokowania dodatkowej przestrzeni dyskowej na potrzeby kopii.</w:t>
            </w:r>
          </w:p>
        </w:tc>
        <w:tc>
          <w:tcPr>
            <w:tcW w:w="1350" w:type="dxa"/>
            <w:vAlign w:val="center"/>
          </w:tcPr>
          <w:p w14:paraId="000000B0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B1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56497B3E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B2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B3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B4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Oferowany jest mechanizm </w:t>
            </w:r>
            <w:proofErr w:type="spellStart"/>
            <w:r w:rsidRPr="006D70DF">
              <w:rPr>
                <w:sz w:val="22"/>
                <w:szCs w:val="22"/>
              </w:rPr>
              <w:t>Redirect</w:t>
            </w:r>
            <w:proofErr w:type="spellEnd"/>
            <w:r w:rsidRPr="006D70DF">
              <w:rPr>
                <w:sz w:val="22"/>
                <w:szCs w:val="22"/>
              </w:rPr>
              <w:t>-on-wite (ROW) lub równoważny, który nie wymaga kopiowania oryginalnych danych przy ich zmianie po wykonaniu migawki.</w:t>
            </w:r>
          </w:p>
        </w:tc>
        <w:tc>
          <w:tcPr>
            <w:tcW w:w="1350" w:type="dxa"/>
            <w:vAlign w:val="center"/>
          </w:tcPr>
          <w:p w14:paraId="000000B5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0B6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5C09EB0A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B7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B8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B9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Macierz posiada mechanizm uniemożliwiający jakiemukolwiek użytkownikowi (w tym administratorom) usunięcie migawkowej kopii danych przez zdefiniowany okres. Okres ten nie może zostać skrócony.</w:t>
            </w:r>
          </w:p>
        </w:tc>
        <w:tc>
          <w:tcPr>
            <w:tcW w:w="1350" w:type="dxa"/>
            <w:vAlign w:val="center"/>
          </w:tcPr>
          <w:p w14:paraId="000000BA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BB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038ABF98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BC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BD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Zdalna replikacja danych</w:t>
            </w:r>
          </w:p>
        </w:tc>
        <w:tc>
          <w:tcPr>
            <w:tcW w:w="6565" w:type="dxa"/>
            <w:vAlign w:val="center"/>
          </w:tcPr>
          <w:p w14:paraId="000000BE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Macierz umożliwia zdalną replikację danych typu online do innej macierzy z tej samej rodziny z wykorzystaniem protokołu FC i IP. Replikacja jest wykonywana na poziomie kontrolerów, bez użycia dodatkowych serwerów lub innych urządzeń i bez obciążania serwerów podłączonych do macierzy. Istnieje możliwość jednoczesnej natywnej replikacji w trybach: synchronicznym i asynchronicznym za pośrednictwem różnych infrastruktur (FC i IP).</w:t>
            </w:r>
          </w:p>
        </w:tc>
        <w:tc>
          <w:tcPr>
            <w:tcW w:w="1350" w:type="dxa"/>
            <w:vAlign w:val="center"/>
          </w:tcPr>
          <w:p w14:paraId="000000BF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C0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7CE4DF57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C1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C2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C3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Oprogramowanie zapewnia funkcjonalność zawieszania i ponownej przyrostowej </w:t>
            </w:r>
            <w:proofErr w:type="spellStart"/>
            <w:r w:rsidRPr="006D70DF">
              <w:rPr>
                <w:sz w:val="22"/>
                <w:szCs w:val="22"/>
              </w:rPr>
              <w:t>resynchronizacji</w:t>
            </w:r>
            <w:proofErr w:type="spellEnd"/>
            <w:r w:rsidRPr="006D70DF">
              <w:rPr>
                <w:sz w:val="22"/>
                <w:szCs w:val="22"/>
              </w:rPr>
              <w:t xml:space="preserve"> kopii z oryginałem oraz zamiany ról oryginału i kopii (dla określonej pary wolumenów logicznych) z poziomu interfejsu administratora</w:t>
            </w:r>
          </w:p>
        </w:tc>
        <w:tc>
          <w:tcPr>
            <w:tcW w:w="1350" w:type="dxa"/>
            <w:vAlign w:val="center"/>
          </w:tcPr>
          <w:p w14:paraId="000000C4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C5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7359047D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C6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C7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Ciągła dostępność do danych</w:t>
            </w:r>
          </w:p>
        </w:tc>
        <w:tc>
          <w:tcPr>
            <w:tcW w:w="6565" w:type="dxa"/>
            <w:vAlign w:val="center"/>
          </w:tcPr>
          <w:p w14:paraId="000000C8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Macierz umożliwia replikowanie danych synchronicznie z drugą taką macierzą i zapewnia – w przypadku awarii i całkowitej niedostępności jednej z macierzy – ciągłą pracę systemów działających na platformie przetwarzania danych i korzystających z zasobów pamięci masowych. Opisane powyżej przełączenie między macierzami odbywa się w sposób automatyczny i transparentny dla korzystających z dysków logicznych macierzy serwerów i aplikacji.</w:t>
            </w:r>
          </w:p>
        </w:tc>
        <w:tc>
          <w:tcPr>
            <w:tcW w:w="1350" w:type="dxa"/>
            <w:vAlign w:val="center"/>
          </w:tcPr>
          <w:p w14:paraId="000000C9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CA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390E213A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CB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CC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CD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Opisana funkcjonalność zapewnia integrację z co najmniej Microsoft Cluster Service oraz platformą </w:t>
            </w:r>
            <w:proofErr w:type="spellStart"/>
            <w:r w:rsidRPr="006D70DF">
              <w:rPr>
                <w:sz w:val="22"/>
                <w:szCs w:val="22"/>
              </w:rPr>
              <w:t>wirtualizacyjną</w:t>
            </w:r>
            <w:proofErr w:type="spellEnd"/>
            <w:r w:rsidRPr="006D70DF">
              <w:rPr>
                <w:sz w:val="22"/>
                <w:szCs w:val="22"/>
              </w:rPr>
              <w:t xml:space="preserve"> </w:t>
            </w:r>
            <w:proofErr w:type="spellStart"/>
            <w:r w:rsidRPr="006D70DF">
              <w:rPr>
                <w:sz w:val="22"/>
                <w:szCs w:val="22"/>
              </w:rPr>
              <w:t>VMware</w:t>
            </w:r>
            <w:proofErr w:type="spellEnd"/>
            <w:r w:rsidRPr="006D70DF">
              <w:rPr>
                <w:sz w:val="22"/>
                <w:szCs w:val="22"/>
              </w:rPr>
              <w:t xml:space="preserve"> (</w:t>
            </w:r>
            <w:proofErr w:type="spellStart"/>
            <w:r w:rsidRPr="006D70DF">
              <w:rPr>
                <w:sz w:val="22"/>
                <w:szCs w:val="22"/>
              </w:rPr>
              <w:t>VMware</w:t>
            </w:r>
            <w:proofErr w:type="spellEnd"/>
            <w:r w:rsidRPr="006D70DF">
              <w:rPr>
                <w:sz w:val="22"/>
                <w:szCs w:val="22"/>
              </w:rPr>
              <w:t xml:space="preserve"> </w:t>
            </w:r>
            <w:proofErr w:type="spellStart"/>
            <w:r w:rsidRPr="006D70DF">
              <w:rPr>
                <w:sz w:val="22"/>
                <w:szCs w:val="22"/>
              </w:rPr>
              <w:t>vSphere</w:t>
            </w:r>
            <w:proofErr w:type="spellEnd"/>
            <w:r w:rsidRPr="006D70DF">
              <w:rPr>
                <w:sz w:val="22"/>
                <w:szCs w:val="22"/>
              </w:rPr>
              <w:t xml:space="preserve"> Metro Storage Cluster).</w:t>
            </w:r>
          </w:p>
        </w:tc>
        <w:tc>
          <w:tcPr>
            <w:tcW w:w="1350" w:type="dxa"/>
            <w:vAlign w:val="center"/>
          </w:tcPr>
          <w:p w14:paraId="000000CE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CF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6E1D849C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D0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D1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D2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Rozwiązanie umożliwia hostom jednoczesny zapis do obu macierzy dla tego samego wolumenu.</w:t>
            </w:r>
          </w:p>
        </w:tc>
        <w:tc>
          <w:tcPr>
            <w:tcW w:w="1350" w:type="dxa"/>
            <w:vAlign w:val="center"/>
          </w:tcPr>
          <w:p w14:paraId="000000D3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D4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7D754D01" w14:textId="77777777">
        <w:tc>
          <w:tcPr>
            <w:tcW w:w="567" w:type="dxa"/>
            <w:vAlign w:val="center"/>
          </w:tcPr>
          <w:p w14:paraId="000000D5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14:paraId="000000D6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Zarządzanie wydajnością</w:t>
            </w:r>
          </w:p>
        </w:tc>
        <w:tc>
          <w:tcPr>
            <w:tcW w:w="6565" w:type="dxa"/>
            <w:vAlign w:val="center"/>
          </w:tcPr>
          <w:p w14:paraId="000000D7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umożliwia konfigurację gwarancji wydajności typu </w:t>
            </w:r>
            <w:proofErr w:type="spellStart"/>
            <w:r w:rsidRPr="006D70DF">
              <w:rPr>
                <w:sz w:val="22"/>
                <w:szCs w:val="22"/>
              </w:rPr>
              <w:t>QoS</w:t>
            </w:r>
            <w:proofErr w:type="spellEnd"/>
            <w:r w:rsidRPr="006D70DF">
              <w:rPr>
                <w:sz w:val="22"/>
                <w:szCs w:val="22"/>
              </w:rPr>
              <w:t xml:space="preserve"> w postaci ustawień kilku poziomów priorytetów obsługi.</w:t>
            </w:r>
          </w:p>
        </w:tc>
        <w:tc>
          <w:tcPr>
            <w:tcW w:w="1350" w:type="dxa"/>
            <w:vAlign w:val="center"/>
          </w:tcPr>
          <w:p w14:paraId="000000D8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D9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181814C7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DA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DB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Kompresja i </w:t>
            </w:r>
            <w:proofErr w:type="spellStart"/>
            <w:r w:rsidRPr="006D70DF">
              <w:rPr>
                <w:sz w:val="22"/>
                <w:szCs w:val="22"/>
              </w:rPr>
              <w:t>deduplikacja</w:t>
            </w:r>
            <w:proofErr w:type="spellEnd"/>
            <w:r w:rsidRPr="006D70DF">
              <w:rPr>
                <w:sz w:val="22"/>
                <w:szCs w:val="22"/>
              </w:rPr>
              <w:t xml:space="preserve"> danych</w:t>
            </w:r>
          </w:p>
        </w:tc>
        <w:tc>
          <w:tcPr>
            <w:tcW w:w="6565" w:type="dxa"/>
            <w:vAlign w:val="center"/>
          </w:tcPr>
          <w:p w14:paraId="000000DC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 Macierz zapewnia kompresję i </w:t>
            </w:r>
            <w:proofErr w:type="spellStart"/>
            <w:r w:rsidRPr="006D70DF">
              <w:rPr>
                <w:sz w:val="22"/>
                <w:szCs w:val="22"/>
              </w:rPr>
              <w:t>deduplikację</w:t>
            </w:r>
            <w:proofErr w:type="spellEnd"/>
            <w:r w:rsidRPr="006D70DF">
              <w:rPr>
                <w:sz w:val="22"/>
                <w:szCs w:val="22"/>
              </w:rPr>
              <w:t xml:space="preserve"> danych na poziomie blokowym.</w:t>
            </w:r>
          </w:p>
        </w:tc>
        <w:tc>
          <w:tcPr>
            <w:tcW w:w="1350" w:type="dxa"/>
            <w:vAlign w:val="center"/>
          </w:tcPr>
          <w:p w14:paraId="000000DD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DE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6EE1E20B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DF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E0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E1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Istnieje możliwość uruchomienia </w:t>
            </w:r>
            <w:proofErr w:type="spellStart"/>
            <w:r w:rsidRPr="006D70DF">
              <w:rPr>
                <w:sz w:val="22"/>
                <w:szCs w:val="22"/>
              </w:rPr>
              <w:t>deduplikacji</w:t>
            </w:r>
            <w:proofErr w:type="spellEnd"/>
            <w:r w:rsidRPr="006D70DF">
              <w:rPr>
                <w:sz w:val="22"/>
                <w:szCs w:val="22"/>
              </w:rPr>
              <w:t xml:space="preserve"> na poziomie pojedynczych wolumenów logicznych. Kompresja i </w:t>
            </w:r>
            <w:proofErr w:type="spellStart"/>
            <w:r w:rsidRPr="006D70DF">
              <w:rPr>
                <w:sz w:val="22"/>
                <w:szCs w:val="22"/>
              </w:rPr>
              <w:t>deduplikacja</w:t>
            </w:r>
            <w:proofErr w:type="spellEnd"/>
            <w:r w:rsidRPr="006D70DF">
              <w:rPr>
                <w:sz w:val="22"/>
                <w:szCs w:val="22"/>
              </w:rPr>
              <w:t xml:space="preserve"> nie są realizowane za pomocą zewnętrznego urządzenia lub oprogramowania.</w:t>
            </w:r>
          </w:p>
        </w:tc>
        <w:tc>
          <w:tcPr>
            <w:tcW w:w="1350" w:type="dxa"/>
            <w:vAlign w:val="center"/>
          </w:tcPr>
          <w:p w14:paraId="000000E2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E3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6AA9B256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E4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E5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Podłączanie zewnętrznych systemów operacyjnych</w:t>
            </w:r>
          </w:p>
        </w:tc>
        <w:tc>
          <w:tcPr>
            <w:tcW w:w="6565" w:type="dxa"/>
            <w:vAlign w:val="center"/>
          </w:tcPr>
          <w:p w14:paraId="000000E6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umożliwia jednoczesne podłączenie wielu serwerów w trybie wysokiej dostępności (co najmniej dwoma ścieżkami). </w:t>
            </w:r>
          </w:p>
        </w:tc>
        <w:tc>
          <w:tcPr>
            <w:tcW w:w="1350" w:type="dxa"/>
            <w:vAlign w:val="center"/>
          </w:tcPr>
          <w:p w14:paraId="000000E7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E8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0B2B6E47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E9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EA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EB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wspiera podłączenie następujących systemów operacyjnych dla protokołu FC: Windows Server 2022, Red </w:t>
            </w:r>
            <w:proofErr w:type="spellStart"/>
            <w:r w:rsidRPr="006D70DF">
              <w:rPr>
                <w:sz w:val="22"/>
                <w:szCs w:val="22"/>
              </w:rPr>
              <w:t>Hat</w:t>
            </w:r>
            <w:proofErr w:type="spellEnd"/>
            <w:r w:rsidRPr="006D70DF">
              <w:rPr>
                <w:sz w:val="22"/>
                <w:szCs w:val="22"/>
              </w:rPr>
              <w:t xml:space="preserve"> 9.x, </w:t>
            </w:r>
            <w:proofErr w:type="spellStart"/>
            <w:r w:rsidRPr="006D70DF">
              <w:rPr>
                <w:sz w:val="22"/>
                <w:szCs w:val="22"/>
              </w:rPr>
              <w:t>VMware</w:t>
            </w:r>
            <w:proofErr w:type="spellEnd"/>
            <w:r w:rsidRPr="006D70DF">
              <w:rPr>
                <w:sz w:val="22"/>
                <w:szCs w:val="22"/>
              </w:rPr>
              <w:t xml:space="preserve"> 8.x, SLES 15.</w:t>
            </w:r>
          </w:p>
        </w:tc>
        <w:tc>
          <w:tcPr>
            <w:tcW w:w="1350" w:type="dxa"/>
            <w:vAlign w:val="center"/>
          </w:tcPr>
          <w:p w14:paraId="000000EC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ED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1C3255E3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EE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EF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F0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wspiera podłączenie następujących systemów operacyjnych dla protokołu </w:t>
            </w:r>
            <w:proofErr w:type="spellStart"/>
            <w:r w:rsidRPr="006D70DF">
              <w:rPr>
                <w:sz w:val="22"/>
                <w:szCs w:val="22"/>
              </w:rPr>
              <w:t>NVMeoF</w:t>
            </w:r>
            <w:proofErr w:type="spellEnd"/>
            <w:r w:rsidRPr="006D70DF">
              <w:rPr>
                <w:sz w:val="22"/>
                <w:szCs w:val="22"/>
              </w:rPr>
              <w:t xml:space="preserve">-FC: Red </w:t>
            </w:r>
            <w:proofErr w:type="spellStart"/>
            <w:r w:rsidRPr="006D70DF">
              <w:rPr>
                <w:sz w:val="22"/>
                <w:szCs w:val="22"/>
              </w:rPr>
              <w:t>Hat</w:t>
            </w:r>
            <w:proofErr w:type="spellEnd"/>
            <w:r w:rsidRPr="006D70DF">
              <w:rPr>
                <w:sz w:val="22"/>
                <w:szCs w:val="22"/>
              </w:rPr>
              <w:t xml:space="preserve"> 9.x, </w:t>
            </w:r>
            <w:proofErr w:type="spellStart"/>
            <w:r w:rsidRPr="006D70DF">
              <w:rPr>
                <w:sz w:val="22"/>
                <w:szCs w:val="22"/>
              </w:rPr>
              <w:t>VMware</w:t>
            </w:r>
            <w:proofErr w:type="spellEnd"/>
            <w:r w:rsidRPr="006D70DF">
              <w:rPr>
                <w:sz w:val="22"/>
                <w:szCs w:val="22"/>
              </w:rPr>
              <w:t xml:space="preserve"> 8.x.</w:t>
            </w:r>
          </w:p>
        </w:tc>
        <w:tc>
          <w:tcPr>
            <w:tcW w:w="1350" w:type="dxa"/>
            <w:vAlign w:val="center"/>
          </w:tcPr>
          <w:p w14:paraId="000000F1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F2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5215B2DD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0F3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0F4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Wysoka dostępność</w:t>
            </w:r>
          </w:p>
        </w:tc>
        <w:tc>
          <w:tcPr>
            <w:tcW w:w="6565" w:type="dxa"/>
            <w:vAlign w:val="center"/>
          </w:tcPr>
          <w:p w14:paraId="000000F5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Macierz nie posiada pojedynczego punktu awarii, który powodowałby brak dostępu do danych. Jest zapewniona pełna redundancja komponentów, w szczególności zdublowanie kontrolerów, zasilaczy i wentylatorów.</w:t>
            </w:r>
          </w:p>
        </w:tc>
        <w:tc>
          <w:tcPr>
            <w:tcW w:w="1350" w:type="dxa"/>
            <w:vAlign w:val="center"/>
          </w:tcPr>
          <w:p w14:paraId="000000F6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F7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257BBA7A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F8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F9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FA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Macierz umożliwia wymianę elementów systemu w trybie „hot-</w:t>
            </w:r>
            <w:proofErr w:type="spellStart"/>
            <w:r w:rsidRPr="006D70DF">
              <w:rPr>
                <w:sz w:val="22"/>
                <w:szCs w:val="22"/>
              </w:rPr>
              <w:t>swap</w:t>
            </w:r>
            <w:proofErr w:type="spellEnd"/>
            <w:r w:rsidRPr="006D70DF">
              <w:rPr>
                <w:sz w:val="22"/>
                <w:szCs w:val="22"/>
              </w:rPr>
              <w:t>”, a w szczególności takich, jak: dyski, kontrolery, zasilacze, wentylatory.</w:t>
            </w:r>
          </w:p>
        </w:tc>
        <w:tc>
          <w:tcPr>
            <w:tcW w:w="1350" w:type="dxa"/>
            <w:vAlign w:val="center"/>
          </w:tcPr>
          <w:p w14:paraId="000000FB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0FC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16ADAD45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0FD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0FE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0FF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Macierz ma możliwość zasilania z dwóch niezależnych źródeł zasilania – odporność na zanik zasilania jednej fazy lub awarię jednego z zasilaczy macierzy.</w:t>
            </w:r>
          </w:p>
        </w:tc>
        <w:tc>
          <w:tcPr>
            <w:tcW w:w="1350" w:type="dxa"/>
            <w:vAlign w:val="center"/>
          </w:tcPr>
          <w:p w14:paraId="00000100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101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1FDCE677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102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103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104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Macierz umożliwia wykonywanie aktualizacji </w:t>
            </w:r>
            <w:proofErr w:type="spellStart"/>
            <w:r w:rsidRPr="006D70DF">
              <w:rPr>
                <w:sz w:val="22"/>
                <w:szCs w:val="22"/>
              </w:rPr>
              <w:t>mikrokodu</w:t>
            </w:r>
            <w:proofErr w:type="spellEnd"/>
            <w:r w:rsidRPr="006D70DF">
              <w:rPr>
                <w:sz w:val="22"/>
                <w:szCs w:val="22"/>
              </w:rPr>
              <w:t xml:space="preserve"> macierzy w trybie online bez wyłączania żadnego z interfejsów macierzy.</w:t>
            </w:r>
          </w:p>
        </w:tc>
        <w:tc>
          <w:tcPr>
            <w:tcW w:w="1350" w:type="dxa"/>
            <w:vAlign w:val="center"/>
          </w:tcPr>
          <w:p w14:paraId="00000105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106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7882381F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107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108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109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Macierz umożliwia zdalne zarządzanie macierzą oraz automatyczne informowanie centrum serwisowego o awarii.</w:t>
            </w:r>
          </w:p>
        </w:tc>
        <w:tc>
          <w:tcPr>
            <w:tcW w:w="1350" w:type="dxa"/>
            <w:vAlign w:val="center"/>
          </w:tcPr>
          <w:p w14:paraId="0000010A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10B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36AFF5BF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10C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10D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10E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Producent macierzy gwarantuje minimum 99,999% dostępność do danych dla pojedynczej macierzy. Wymagane potwierdzenie na publicznej stronie producenta lub przedstawienie stosownego certyfikatu/oświadczenia producenta potwierdzającego ten parametr.</w:t>
            </w:r>
          </w:p>
        </w:tc>
        <w:tc>
          <w:tcPr>
            <w:tcW w:w="1350" w:type="dxa"/>
            <w:vAlign w:val="center"/>
          </w:tcPr>
          <w:p w14:paraId="0000010F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110" w14:textId="77777777" w:rsidR="000E5E6C" w:rsidRPr="006D70DF" w:rsidRDefault="00972C18">
            <w:pPr>
              <w:spacing w:after="0"/>
              <w:jc w:val="center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…………………………………………………………</w:t>
            </w:r>
          </w:p>
          <w:p w14:paraId="00000111" w14:textId="77777777" w:rsidR="000E5E6C" w:rsidRPr="006D70DF" w:rsidRDefault="00972C18">
            <w:pPr>
              <w:spacing w:after="0"/>
              <w:jc w:val="center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podać link do publicznej strony producenta </w:t>
            </w:r>
          </w:p>
          <w:p w14:paraId="00000112" w14:textId="77777777" w:rsidR="000E5E6C" w:rsidRPr="006D70DF" w:rsidRDefault="00972C18">
            <w:pPr>
              <w:spacing w:after="0"/>
              <w:jc w:val="center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(jeżeli dotyczy)</w:t>
            </w:r>
          </w:p>
        </w:tc>
      </w:tr>
      <w:tr w:rsidR="000E5E6C" w:rsidRPr="006D70DF" w14:paraId="17737D3A" w14:textId="77777777">
        <w:trPr>
          <w:trHeight w:val="180"/>
        </w:trPr>
        <w:tc>
          <w:tcPr>
            <w:tcW w:w="567" w:type="dxa"/>
            <w:vMerge w:val="restart"/>
            <w:vAlign w:val="center"/>
          </w:tcPr>
          <w:p w14:paraId="00000113" w14:textId="77777777" w:rsidR="000E5E6C" w:rsidRPr="006D70DF" w:rsidRDefault="000E5E6C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sz w:val="22"/>
                <w:szCs w:val="22"/>
              </w:rPr>
            </w:pPr>
          </w:p>
        </w:tc>
        <w:tc>
          <w:tcPr>
            <w:tcW w:w="1418" w:type="dxa"/>
            <w:vMerge w:val="restart"/>
            <w:vAlign w:val="center"/>
          </w:tcPr>
          <w:p w14:paraId="00000114" w14:textId="77777777" w:rsidR="000E5E6C" w:rsidRPr="006D70DF" w:rsidRDefault="00972C18">
            <w:pPr>
              <w:spacing w:after="0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Gwarancja</w:t>
            </w:r>
          </w:p>
        </w:tc>
        <w:tc>
          <w:tcPr>
            <w:tcW w:w="6565" w:type="dxa"/>
            <w:vAlign w:val="center"/>
          </w:tcPr>
          <w:p w14:paraId="00000115" w14:textId="4712A983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Zaoferowanie </w:t>
            </w:r>
            <w:r w:rsidR="00353ED0" w:rsidRPr="006D70DF">
              <w:rPr>
                <w:sz w:val="22"/>
                <w:szCs w:val="22"/>
              </w:rPr>
              <w:t xml:space="preserve">minimum </w:t>
            </w:r>
            <w:r w:rsidRPr="006D70DF">
              <w:rPr>
                <w:sz w:val="22"/>
                <w:szCs w:val="22"/>
              </w:rPr>
              <w:t>36 miesięcznej gwarancji producenta w miejscu instalacji (tryb on-</w:t>
            </w:r>
            <w:proofErr w:type="spellStart"/>
            <w:r w:rsidRPr="006D70DF">
              <w:rPr>
                <w:sz w:val="22"/>
                <w:szCs w:val="22"/>
              </w:rPr>
              <w:t>site</w:t>
            </w:r>
            <w:proofErr w:type="spellEnd"/>
            <w:r w:rsidRPr="006D70DF">
              <w:rPr>
                <w:sz w:val="22"/>
                <w:szCs w:val="22"/>
              </w:rPr>
              <w:t>)</w:t>
            </w:r>
          </w:p>
        </w:tc>
        <w:tc>
          <w:tcPr>
            <w:tcW w:w="1350" w:type="dxa"/>
            <w:vAlign w:val="center"/>
          </w:tcPr>
          <w:p w14:paraId="00000116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TAK, podać</w:t>
            </w:r>
          </w:p>
        </w:tc>
        <w:tc>
          <w:tcPr>
            <w:tcW w:w="4275" w:type="dxa"/>
            <w:vAlign w:val="center"/>
          </w:tcPr>
          <w:p w14:paraId="00000117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4497CF92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118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119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11A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Możliwość zgłoszenia awarii przez siedem dni w tygodniu, 24 godziny na dobę. </w:t>
            </w:r>
          </w:p>
        </w:tc>
        <w:tc>
          <w:tcPr>
            <w:tcW w:w="1350" w:type="dxa"/>
            <w:vAlign w:val="center"/>
          </w:tcPr>
          <w:p w14:paraId="0000011B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11C" w14:textId="77777777" w:rsidR="000E5E6C" w:rsidRPr="006D70DF" w:rsidRDefault="000E5E6C">
            <w:pPr>
              <w:spacing w:after="0"/>
              <w:jc w:val="both"/>
              <w:rPr>
                <w:sz w:val="22"/>
                <w:szCs w:val="22"/>
              </w:rPr>
            </w:pPr>
          </w:p>
        </w:tc>
      </w:tr>
      <w:tr w:rsidR="000E5E6C" w:rsidRPr="006D70DF" w14:paraId="0F02E20B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11D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11E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11F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Czas podjęcia się naprawy serwisu maksymalnie następny dzień roboczy.</w:t>
            </w:r>
          </w:p>
        </w:tc>
        <w:tc>
          <w:tcPr>
            <w:tcW w:w="1350" w:type="dxa"/>
            <w:vAlign w:val="center"/>
          </w:tcPr>
          <w:p w14:paraId="00000120" w14:textId="77777777" w:rsidR="000E5E6C" w:rsidRPr="006D70DF" w:rsidRDefault="00972C18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121" w14:textId="77777777" w:rsidR="000E5E6C" w:rsidRPr="006D70DF" w:rsidRDefault="000E5E6C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</w:p>
        </w:tc>
      </w:tr>
      <w:tr w:rsidR="000E5E6C" w:rsidRPr="006D70DF" w14:paraId="7CA676D7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122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123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124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W przypadku awarii wykonawca zapewni naprawę przywracającą pełną sprawność urządzenia oraz jego pełną kompatybilność z pozostałymi komponentami i środowiskiem informatycznym.</w:t>
            </w:r>
          </w:p>
        </w:tc>
        <w:tc>
          <w:tcPr>
            <w:tcW w:w="1350" w:type="dxa"/>
            <w:vAlign w:val="center"/>
          </w:tcPr>
          <w:p w14:paraId="00000125" w14:textId="0898C131" w:rsidR="000E5E6C" w:rsidRPr="006D70DF" w:rsidRDefault="00AF2880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126" w14:textId="77777777" w:rsidR="000E5E6C" w:rsidRPr="006D70DF" w:rsidRDefault="000E5E6C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</w:p>
        </w:tc>
      </w:tr>
      <w:tr w:rsidR="000E5E6C" w:rsidRPr="006D70DF" w14:paraId="192A14D0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127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128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129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rFonts w:eastAsia="Aptos"/>
                <w:b/>
                <w:bCs/>
                <w:sz w:val="22"/>
                <w:szCs w:val="22"/>
                <w:u w:val="single"/>
              </w:rPr>
              <w:t>Kryterium punktowane:</w:t>
            </w:r>
            <w:r w:rsidRPr="006D70DF">
              <w:rPr>
                <w:rFonts w:eastAsia="Aptos"/>
                <w:sz w:val="22"/>
                <w:szCs w:val="22"/>
              </w:rPr>
              <w:t xml:space="preserve"> Naprawa realizowana przez producenta lub autoryzowany przez producenta serwis. (Należy wpisać „TAK” – 20 pkt lub „NIE” – 0 pkt)</w:t>
            </w:r>
          </w:p>
        </w:tc>
        <w:tc>
          <w:tcPr>
            <w:tcW w:w="1350" w:type="dxa"/>
            <w:vAlign w:val="center"/>
          </w:tcPr>
          <w:p w14:paraId="0000012A" w14:textId="2AE21217" w:rsidR="000E5E6C" w:rsidRPr="006D70DF" w:rsidRDefault="00607E57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podać</w:t>
            </w:r>
          </w:p>
        </w:tc>
        <w:tc>
          <w:tcPr>
            <w:tcW w:w="4275" w:type="dxa"/>
            <w:vAlign w:val="center"/>
          </w:tcPr>
          <w:p w14:paraId="0000012B" w14:textId="77777777" w:rsidR="000E5E6C" w:rsidRPr="006D70DF" w:rsidRDefault="00972C18">
            <w:pPr>
              <w:spacing w:after="0"/>
              <w:jc w:val="center"/>
              <w:rPr>
                <w:b/>
                <w:bCs/>
                <w:sz w:val="22"/>
                <w:szCs w:val="22"/>
              </w:rPr>
            </w:pPr>
            <w:r w:rsidRPr="006D70DF">
              <w:rPr>
                <w:b/>
                <w:bCs/>
                <w:sz w:val="22"/>
                <w:szCs w:val="22"/>
              </w:rPr>
              <w:t>..............................................</w:t>
            </w:r>
          </w:p>
          <w:p w14:paraId="0000012C" w14:textId="77777777" w:rsidR="000E5E6C" w:rsidRPr="006D70DF" w:rsidRDefault="00972C18">
            <w:pPr>
              <w:spacing w:after="0"/>
              <w:jc w:val="center"/>
              <w:rPr>
                <w:color w:val="FF0000"/>
                <w:sz w:val="22"/>
                <w:szCs w:val="22"/>
              </w:rPr>
            </w:pPr>
            <w:r w:rsidRPr="006D70DF">
              <w:rPr>
                <w:b/>
                <w:bCs/>
                <w:sz w:val="22"/>
                <w:szCs w:val="22"/>
              </w:rPr>
              <w:t>Kryterium punktowane</w:t>
            </w:r>
          </w:p>
        </w:tc>
      </w:tr>
      <w:tr w:rsidR="000E5E6C" w:rsidRPr="006D70DF" w14:paraId="7E6D2907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12D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12E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12F" w14:textId="77777777" w:rsidR="000E5E6C" w:rsidRPr="006D70DF" w:rsidRDefault="00972C18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Zamawiający ma możliwość pozostawienia wszystkich typów nośników danych zawartych w urządzeniu u Zamawiającego po ich wymianie w ramach gwarancji (funkcjonalność typu np. </w:t>
            </w:r>
            <w:proofErr w:type="spellStart"/>
            <w:r w:rsidRPr="006D70DF">
              <w:rPr>
                <w:sz w:val="22"/>
                <w:szCs w:val="22"/>
              </w:rPr>
              <w:t>Keep</w:t>
            </w:r>
            <w:proofErr w:type="spellEnd"/>
            <w:r w:rsidRPr="006D70DF">
              <w:rPr>
                <w:sz w:val="22"/>
                <w:szCs w:val="22"/>
              </w:rPr>
              <w:t xml:space="preserve"> </w:t>
            </w:r>
            <w:proofErr w:type="spellStart"/>
            <w:r w:rsidRPr="006D70DF">
              <w:rPr>
                <w:sz w:val="22"/>
                <w:szCs w:val="22"/>
              </w:rPr>
              <w:t>Your</w:t>
            </w:r>
            <w:proofErr w:type="spellEnd"/>
            <w:r w:rsidRPr="006D70DF">
              <w:rPr>
                <w:sz w:val="22"/>
                <w:szCs w:val="22"/>
              </w:rPr>
              <w:t xml:space="preserve"> Hard Drive / </w:t>
            </w:r>
            <w:proofErr w:type="spellStart"/>
            <w:r w:rsidRPr="006D70DF">
              <w:rPr>
                <w:sz w:val="22"/>
                <w:szCs w:val="22"/>
              </w:rPr>
              <w:lastRenderedPageBreak/>
              <w:t>Defective</w:t>
            </w:r>
            <w:proofErr w:type="spellEnd"/>
            <w:r w:rsidRPr="006D70DF">
              <w:rPr>
                <w:sz w:val="22"/>
                <w:szCs w:val="22"/>
              </w:rPr>
              <w:t xml:space="preserve"> Media </w:t>
            </w:r>
            <w:proofErr w:type="spellStart"/>
            <w:r w:rsidRPr="006D70DF">
              <w:rPr>
                <w:sz w:val="22"/>
                <w:szCs w:val="22"/>
              </w:rPr>
              <w:t>Retention</w:t>
            </w:r>
            <w:proofErr w:type="spellEnd"/>
            <w:r w:rsidRPr="006D70DF">
              <w:rPr>
                <w:sz w:val="22"/>
                <w:szCs w:val="22"/>
              </w:rPr>
              <w:t>). Usługa ta musi być realizowana przez cały okres gwarancji bez żadnych dodatkowych opłat.</w:t>
            </w:r>
          </w:p>
        </w:tc>
        <w:tc>
          <w:tcPr>
            <w:tcW w:w="1350" w:type="dxa"/>
            <w:vAlign w:val="center"/>
          </w:tcPr>
          <w:p w14:paraId="00000130" w14:textId="77777777" w:rsidR="000E5E6C" w:rsidRPr="006D70DF" w:rsidRDefault="00972C18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lastRenderedPageBreak/>
              <w:t>TAK</w:t>
            </w:r>
          </w:p>
        </w:tc>
        <w:tc>
          <w:tcPr>
            <w:tcW w:w="4275" w:type="dxa"/>
            <w:vAlign w:val="center"/>
          </w:tcPr>
          <w:p w14:paraId="00000131" w14:textId="77777777" w:rsidR="000E5E6C" w:rsidRPr="006D70DF" w:rsidRDefault="000E5E6C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</w:p>
        </w:tc>
      </w:tr>
      <w:tr w:rsidR="000E5E6C" w:rsidRPr="006D70DF" w14:paraId="3CCBFDF6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132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133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134" w14:textId="77777777" w:rsidR="000E5E6C" w:rsidRPr="006D70DF" w:rsidRDefault="00972C18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W okresie gwarancji Zamawiający ma prawo do otrzymywania poprawek oraz aktualizacji wersji oprogramowania dostarczonego wraz z macierzą oraz oprogramowania wewnętrznego macierzy.</w:t>
            </w:r>
          </w:p>
        </w:tc>
        <w:tc>
          <w:tcPr>
            <w:tcW w:w="1350" w:type="dxa"/>
            <w:vAlign w:val="center"/>
          </w:tcPr>
          <w:p w14:paraId="00000135" w14:textId="77777777" w:rsidR="000E5E6C" w:rsidRPr="006D70DF" w:rsidRDefault="00972C18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136" w14:textId="77777777" w:rsidR="000E5E6C" w:rsidRPr="006D70DF" w:rsidRDefault="000E5E6C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</w:p>
        </w:tc>
      </w:tr>
      <w:tr w:rsidR="000E5E6C" w:rsidRPr="006D70DF" w14:paraId="78DA8920" w14:textId="77777777">
        <w:trPr>
          <w:trHeight w:val="180"/>
        </w:trPr>
        <w:tc>
          <w:tcPr>
            <w:tcW w:w="567" w:type="dxa"/>
            <w:vMerge/>
            <w:vAlign w:val="center"/>
          </w:tcPr>
          <w:p w14:paraId="00000137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1418" w:type="dxa"/>
            <w:vMerge/>
            <w:vAlign w:val="center"/>
          </w:tcPr>
          <w:p w14:paraId="00000138" w14:textId="77777777" w:rsidR="000E5E6C" w:rsidRPr="006D70DF" w:rsidRDefault="000E5E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6565" w:type="dxa"/>
            <w:vAlign w:val="center"/>
          </w:tcPr>
          <w:p w14:paraId="00000139" w14:textId="77777777" w:rsidR="000E5E6C" w:rsidRPr="006D70DF" w:rsidRDefault="00972C18">
            <w:pPr>
              <w:spacing w:after="0"/>
              <w:jc w:val="both"/>
              <w:rPr>
                <w:color w:val="6AA84F"/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Dokument gwarancji należy dostarczyć wraz z dostawą macierzy.</w:t>
            </w:r>
          </w:p>
        </w:tc>
        <w:tc>
          <w:tcPr>
            <w:tcW w:w="1350" w:type="dxa"/>
            <w:vAlign w:val="center"/>
          </w:tcPr>
          <w:p w14:paraId="0000013A" w14:textId="77777777" w:rsidR="000E5E6C" w:rsidRPr="006D70DF" w:rsidRDefault="00972C18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0000013B" w14:textId="77777777" w:rsidR="000E5E6C" w:rsidRPr="006D70DF" w:rsidRDefault="000E5E6C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</w:p>
        </w:tc>
      </w:tr>
      <w:tr w:rsidR="00787409" w:rsidRPr="006D70DF" w14:paraId="5E46214A" w14:textId="77777777" w:rsidTr="00913988">
        <w:trPr>
          <w:trHeight w:val="180"/>
        </w:trPr>
        <w:tc>
          <w:tcPr>
            <w:tcW w:w="567" w:type="dxa"/>
            <w:vAlign w:val="center"/>
          </w:tcPr>
          <w:p w14:paraId="07BB5A5F" w14:textId="77777777" w:rsidR="00787409" w:rsidRPr="006D70DF" w:rsidRDefault="00787409" w:rsidP="007874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1418" w:type="dxa"/>
            <w:vAlign w:val="center"/>
          </w:tcPr>
          <w:p w14:paraId="3986A3DD" w14:textId="77777777" w:rsidR="00787409" w:rsidRPr="006D70DF" w:rsidRDefault="00787409" w:rsidP="007874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color w:val="FF0000"/>
                <w:sz w:val="22"/>
                <w:szCs w:val="22"/>
              </w:rPr>
            </w:pPr>
          </w:p>
        </w:tc>
        <w:tc>
          <w:tcPr>
            <w:tcW w:w="6565" w:type="dxa"/>
          </w:tcPr>
          <w:p w14:paraId="7D491558" w14:textId="63005288" w:rsidR="00787409" w:rsidRPr="006D70DF" w:rsidRDefault="00787409" w:rsidP="00787409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 xml:space="preserve">Zgodność z normami: CB, </w:t>
            </w:r>
            <w:proofErr w:type="spellStart"/>
            <w:r w:rsidRPr="006D70DF">
              <w:rPr>
                <w:sz w:val="22"/>
                <w:szCs w:val="22"/>
              </w:rPr>
              <w:t>RoHS</w:t>
            </w:r>
            <w:proofErr w:type="spellEnd"/>
            <w:r w:rsidRPr="006D70DF">
              <w:rPr>
                <w:sz w:val="22"/>
                <w:szCs w:val="22"/>
              </w:rPr>
              <w:t>, WEEE.</w:t>
            </w:r>
          </w:p>
        </w:tc>
        <w:tc>
          <w:tcPr>
            <w:tcW w:w="1350" w:type="dxa"/>
          </w:tcPr>
          <w:p w14:paraId="77C4DCC8" w14:textId="1E6B2205" w:rsidR="00787409" w:rsidRPr="006D70DF" w:rsidRDefault="00787409" w:rsidP="00787409">
            <w:pPr>
              <w:spacing w:after="0"/>
              <w:jc w:val="both"/>
              <w:rPr>
                <w:sz w:val="22"/>
                <w:szCs w:val="22"/>
              </w:rPr>
            </w:pPr>
            <w:r w:rsidRPr="006D70DF">
              <w:rPr>
                <w:sz w:val="22"/>
                <w:szCs w:val="22"/>
              </w:rPr>
              <w:t>TAK</w:t>
            </w:r>
          </w:p>
        </w:tc>
        <w:tc>
          <w:tcPr>
            <w:tcW w:w="4275" w:type="dxa"/>
            <w:vAlign w:val="center"/>
          </w:tcPr>
          <w:p w14:paraId="5656E2C2" w14:textId="77777777" w:rsidR="00787409" w:rsidRPr="006D70DF" w:rsidRDefault="00787409" w:rsidP="00787409">
            <w:pPr>
              <w:spacing w:after="0"/>
              <w:jc w:val="both"/>
              <w:rPr>
                <w:color w:val="FF0000"/>
                <w:sz w:val="22"/>
                <w:szCs w:val="22"/>
              </w:rPr>
            </w:pPr>
          </w:p>
        </w:tc>
      </w:tr>
    </w:tbl>
    <w:p w14:paraId="0000013C" w14:textId="77777777" w:rsidR="000E5E6C" w:rsidRPr="006D70DF" w:rsidRDefault="000E5E6C">
      <w:pPr>
        <w:rPr>
          <w:sz w:val="22"/>
          <w:szCs w:val="22"/>
        </w:rPr>
      </w:pPr>
    </w:p>
    <w:p w14:paraId="0000013D" w14:textId="77777777" w:rsidR="000E5E6C" w:rsidRPr="006D70DF" w:rsidRDefault="00972C18">
      <w:pPr>
        <w:widowControl w:val="0"/>
        <w:spacing w:after="0" w:line="240" w:lineRule="auto"/>
        <w:jc w:val="both"/>
        <w:rPr>
          <w:b/>
          <w:bCs/>
          <w:sz w:val="22"/>
          <w:szCs w:val="22"/>
        </w:rPr>
      </w:pPr>
      <w:r w:rsidRPr="006D70DF">
        <w:rPr>
          <w:b/>
          <w:bCs/>
          <w:sz w:val="22"/>
          <w:szCs w:val="22"/>
        </w:rPr>
        <w:t>WDROŻENIE SYSTEMU MACIERZOWEGO</w:t>
      </w:r>
    </w:p>
    <w:p w14:paraId="0000013E" w14:textId="77777777" w:rsidR="000E5E6C" w:rsidRPr="006D70DF" w:rsidRDefault="00972C18">
      <w:pPr>
        <w:widowControl w:val="0"/>
        <w:spacing w:after="0" w:line="240" w:lineRule="auto"/>
        <w:jc w:val="both"/>
        <w:rPr>
          <w:sz w:val="22"/>
          <w:szCs w:val="22"/>
        </w:rPr>
      </w:pPr>
      <w:r w:rsidRPr="006D70DF">
        <w:rPr>
          <w:sz w:val="22"/>
          <w:szCs w:val="22"/>
        </w:rPr>
        <w:t>Wykonawca w ramach ceny ofertowej zobowiązany jest do kompleksowej dostawy oraz wdrożenia systemu pamięci masowej w układzie wysokiej dostępności.</w:t>
      </w:r>
    </w:p>
    <w:p w14:paraId="0000013F" w14:textId="77777777" w:rsidR="000E5E6C" w:rsidRPr="006D70DF" w:rsidRDefault="00972C18">
      <w:pPr>
        <w:widowControl w:val="0"/>
        <w:spacing w:after="0" w:line="240" w:lineRule="auto"/>
        <w:jc w:val="both"/>
        <w:rPr>
          <w:b/>
          <w:bCs/>
          <w:sz w:val="22"/>
          <w:szCs w:val="22"/>
        </w:rPr>
      </w:pPr>
      <w:r w:rsidRPr="006D70DF">
        <w:rPr>
          <w:b/>
          <w:bCs/>
          <w:sz w:val="22"/>
          <w:szCs w:val="22"/>
        </w:rPr>
        <w:t>I. Zakres prac wdrożeniowych</w:t>
      </w:r>
    </w:p>
    <w:p w14:paraId="00000140" w14:textId="77777777" w:rsidR="000E5E6C" w:rsidRPr="006D70DF" w:rsidRDefault="00972C18">
      <w:pPr>
        <w:widowControl w:val="0"/>
        <w:numPr>
          <w:ilvl w:val="0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b/>
          <w:bCs/>
          <w:sz w:val="22"/>
          <w:szCs w:val="22"/>
        </w:rPr>
        <w:t>Analiza i Projekt:</w:t>
      </w:r>
      <w:r w:rsidRPr="006D70DF">
        <w:rPr>
          <w:sz w:val="22"/>
          <w:szCs w:val="22"/>
        </w:rPr>
        <w:t xml:space="preserve"> Przygotowanie projektu technicznego połączeń w sieci SAN (FC/</w:t>
      </w:r>
      <w:proofErr w:type="spellStart"/>
      <w:r w:rsidRPr="006D70DF">
        <w:rPr>
          <w:sz w:val="22"/>
          <w:szCs w:val="22"/>
        </w:rPr>
        <w:t>NVMe-oF</w:t>
      </w:r>
      <w:proofErr w:type="spellEnd"/>
      <w:r w:rsidRPr="006D70DF">
        <w:rPr>
          <w:sz w:val="22"/>
          <w:szCs w:val="22"/>
        </w:rPr>
        <w:t>) oraz planu adresacji i podziału na wolumeny.</w:t>
      </w:r>
    </w:p>
    <w:p w14:paraId="00000141" w14:textId="77777777" w:rsidR="000E5E6C" w:rsidRPr="006D70DF" w:rsidRDefault="00972C18">
      <w:pPr>
        <w:widowControl w:val="0"/>
        <w:numPr>
          <w:ilvl w:val="0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b/>
          <w:bCs/>
          <w:sz w:val="22"/>
          <w:szCs w:val="22"/>
        </w:rPr>
        <w:t>Instalacja fizyczna:</w:t>
      </w:r>
      <w:r w:rsidRPr="006D70DF">
        <w:rPr>
          <w:sz w:val="22"/>
          <w:szCs w:val="22"/>
        </w:rPr>
        <w:t xml:space="preserve"> Montaż macierzy w szafach </w:t>
      </w:r>
      <w:proofErr w:type="spellStart"/>
      <w:r w:rsidRPr="006D70DF">
        <w:rPr>
          <w:sz w:val="22"/>
          <w:szCs w:val="22"/>
        </w:rPr>
        <w:t>rack</w:t>
      </w:r>
      <w:proofErr w:type="spellEnd"/>
      <w:r w:rsidRPr="006D70DF">
        <w:rPr>
          <w:sz w:val="22"/>
          <w:szCs w:val="22"/>
        </w:rPr>
        <w:t>, podłączenie redundantnego zasilania i okablowania FC 32/64Gb.</w:t>
      </w:r>
    </w:p>
    <w:p w14:paraId="00000142" w14:textId="77777777" w:rsidR="000E5E6C" w:rsidRPr="006D70DF" w:rsidRDefault="00972C18">
      <w:pPr>
        <w:widowControl w:val="0"/>
        <w:numPr>
          <w:ilvl w:val="0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b/>
          <w:bCs/>
          <w:sz w:val="22"/>
          <w:szCs w:val="22"/>
        </w:rPr>
        <w:t xml:space="preserve">Konfiguracja High </w:t>
      </w:r>
      <w:proofErr w:type="spellStart"/>
      <w:r w:rsidRPr="006D70DF">
        <w:rPr>
          <w:b/>
          <w:bCs/>
          <w:sz w:val="22"/>
          <w:szCs w:val="22"/>
        </w:rPr>
        <w:t>Availability</w:t>
      </w:r>
      <w:proofErr w:type="spellEnd"/>
      <w:r w:rsidRPr="006D70DF">
        <w:rPr>
          <w:b/>
          <w:bCs/>
          <w:sz w:val="22"/>
          <w:szCs w:val="22"/>
        </w:rPr>
        <w:t xml:space="preserve"> (Metro Cluster):</w:t>
      </w:r>
      <w:r w:rsidRPr="006D70DF">
        <w:rPr>
          <w:sz w:val="22"/>
          <w:szCs w:val="22"/>
        </w:rPr>
        <w:t xml:space="preserve"> Uruchomienie replikacji synchronicznej Active-Active między kontrolerami/macierzami.</w:t>
      </w:r>
    </w:p>
    <w:p w14:paraId="00000143" w14:textId="77777777" w:rsidR="000E5E6C" w:rsidRPr="006D70DF" w:rsidRDefault="00972C18">
      <w:pPr>
        <w:widowControl w:val="0"/>
        <w:numPr>
          <w:ilvl w:val="1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sz w:val="22"/>
          <w:szCs w:val="22"/>
        </w:rPr>
        <w:t>Konfiguracja zewnętrznego mechanizmu arbitrażu (</w:t>
      </w:r>
      <w:proofErr w:type="spellStart"/>
      <w:r w:rsidRPr="006D70DF">
        <w:rPr>
          <w:sz w:val="22"/>
          <w:szCs w:val="22"/>
        </w:rPr>
        <w:t>Witness</w:t>
      </w:r>
      <w:proofErr w:type="spellEnd"/>
      <w:r w:rsidRPr="006D70DF">
        <w:rPr>
          <w:sz w:val="22"/>
          <w:szCs w:val="22"/>
        </w:rPr>
        <w:t xml:space="preserve">/Quorum) zapobiegającego zjawisku </w:t>
      </w:r>
      <w:proofErr w:type="spellStart"/>
      <w:r w:rsidRPr="006D70DF">
        <w:rPr>
          <w:i/>
          <w:iCs/>
          <w:sz w:val="22"/>
          <w:szCs w:val="22"/>
        </w:rPr>
        <w:t>split-brain</w:t>
      </w:r>
      <w:proofErr w:type="spellEnd"/>
      <w:r w:rsidRPr="006D70DF">
        <w:rPr>
          <w:sz w:val="22"/>
          <w:szCs w:val="22"/>
        </w:rPr>
        <w:t>.</w:t>
      </w:r>
    </w:p>
    <w:p w14:paraId="00000144" w14:textId="77777777" w:rsidR="000E5E6C" w:rsidRPr="006D70DF" w:rsidRDefault="00972C18">
      <w:pPr>
        <w:widowControl w:val="0"/>
        <w:numPr>
          <w:ilvl w:val="1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sz w:val="22"/>
          <w:szCs w:val="22"/>
        </w:rPr>
        <w:t>Konfiguracja automatycznego przełączania zasobów (</w:t>
      </w:r>
      <w:proofErr w:type="spellStart"/>
      <w:r w:rsidRPr="006D70DF">
        <w:rPr>
          <w:sz w:val="22"/>
          <w:szCs w:val="22"/>
        </w:rPr>
        <w:t>failover</w:t>
      </w:r>
      <w:proofErr w:type="spellEnd"/>
      <w:r w:rsidRPr="006D70DF">
        <w:rPr>
          <w:sz w:val="22"/>
          <w:szCs w:val="22"/>
        </w:rPr>
        <w:t>/</w:t>
      </w:r>
      <w:proofErr w:type="spellStart"/>
      <w:r w:rsidRPr="006D70DF">
        <w:rPr>
          <w:sz w:val="22"/>
          <w:szCs w:val="22"/>
        </w:rPr>
        <w:t>failback</w:t>
      </w:r>
      <w:proofErr w:type="spellEnd"/>
      <w:r w:rsidRPr="006D70DF">
        <w:rPr>
          <w:sz w:val="22"/>
          <w:szCs w:val="22"/>
        </w:rPr>
        <w:t>) transparentnego dla hostów.</w:t>
      </w:r>
    </w:p>
    <w:p w14:paraId="00000145" w14:textId="77777777" w:rsidR="000E5E6C" w:rsidRPr="006D70DF" w:rsidRDefault="00972C18">
      <w:pPr>
        <w:widowControl w:val="0"/>
        <w:numPr>
          <w:ilvl w:val="0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b/>
          <w:bCs/>
          <w:sz w:val="22"/>
          <w:szCs w:val="22"/>
        </w:rPr>
        <w:t>Konfiguracja zasobów i bezpieczeństwa:</w:t>
      </w:r>
    </w:p>
    <w:p w14:paraId="00000146" w14:textId="77777777" w:rsidR="000E5E6C" w:rsidRPr="006D70DF" w:rsidRDefault="00972C18">
      <w:pPr>
        <w:widowControl w:val="0"/>
        <w:numPr>
          <w:ilvl w:val="1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sz w:val="22"/>
          <w:szCs w:val="22"/>
        </w:rPr>
        <w:t xml:space="preserve">Budowa pul dyskowych </w:t>
      </w:r>
      <w:proofErr w:type="spellStart"/>
      <w:r w:rsidRPr="006D70DF">
        <w:rPr>
          <w:sz w:val="22"/>
          <w:szCs w:val="22"/>
        </w:rPr>
        <w:t>NVMe</w:t>
      </w:r>
      <w:proofErr w:type="spellEnd"/>
      <w:r w:rsidRPr="006D70DF">
        <w:rPr>
          <w:sz w:val="22"/>
          <w:szCs w:val="22"/>
        </w:rPr>
        <w:t xml:space="preserve"> (RAID-6) i wolumenów logicznych.</w:t>
      </w:r>
    </w:p>
    <w:p w14:paraId="00000147" w14:textId="77777777" w:rsidR="000E5E6C" w:rsidRPr="006D70DF" w:rsidRDefault="00972C18">
      <w:pPr>
        <w:widowControl w:val="0"/>
        <w:numPr>
          <w:ilvl w:val="1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sz w:val="22"/>
          <w:szCs w:val="22"/>
        </w:rPr>
        <w:t>Aktywacja mechanizmów redukcji danych (</w:t>
      </w:r>
      <w:proofErr w:type="spellStart"/>
      <w:r w:rsidRPr="006D70DF">
        <w:rPr>
          <w:sz w:val="22"/>
          <w:szCs w:val="22"/>
        </w:rPr>
        <w:t>deduplikacja</w:t>
      </w:r>
      <w:proofErr w:type="spellEnd"/>
      <w:r w:rsidRPr="006D70DF">
        <w:rPr>
          <w:sz w:val="22"/>
          <w:szCs w:val="22"/>
        </w:rPr>
        <w:t xml:space="preserve"> i kompresja </w:t>
      </w:r>
      <w:proofErr w:type="spellStart"/>
      <w:r w:rsidRPr="006D70DF">
        <w:rPr>
          <w:sz w:val="22"/>
          <w:szCs w:val="22"/>
        </w:rPr>
        <w:t>inline</w:t>
      </w:r>
      <w:proofErr w:type="spellEnd"/>
      <w:r w:rsidRPr="006D70DF">
        <w:rPr>
          <w:sz w:val="22"/>
          <w:szCs w:val="22"/>
        </w:rPr>
        <w:t>).</w:t>
      </w:r>
    </w:p>
    <w:p w14:paraId="00000148" w14:textId="77777777" w:rsidR="000E5E6C" w:rsidRPr="006D70DF" w:rsidRDefault="00972C18">
      <w:pPr>
        <w:widowControl w:val="0"/>
        <w:numPr>
          <w:ilvl w:val="1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sz w:val="22"/>
          <w:szCs w:val="22"/>
        </w:rPr>
        <w:t>Konfiguracja niezmiennych migawek (</w:t>
      </w:r>
      <w:proofErr w:type="spellStart"/>
      <w:r w:rsidRPr="006D70DF">
        <w:rPr>
          <w:sz w:val="22"/>
          <w:szCs w:val="22"/>
        </w:rPr>
        <w:t>Immutable</w:t>
      </w:r>
      <w:proofErr w:type="spellEnd"/>
      <w:r w:rsidRPr="006D70DF">
        <w:rPr>
          <w:sz w:val="22"/>
          <w:szCs w:val="22"/>
        </w:rPr>
        <w:t xml:space="preserve"> </w:t>
      </w:r>
      <w:proofErr w:type="spellStart"/>
      <w:r w:rsidRPr="006D70DF">
        <w:rPr>
          <w:sz w:val="22"/>
          <w:szCs w:val="22"/>
        </w:rPr>
        <w:t>Snapshots</w:t>
      </w:r>
      <w:proofErr w:type="spellEnd"/>
      <w:r w:rsidRPr="006D70DF">
        <w:rPr>
          <w:sz w:val="22"/>
          <w:szCs w:val="22"/>
        </w:rPr>
        <w:t xml:space="preserve">) chroniących przed </w:t>
      </w:r>
      <w:proofErr w:type="spellStart"/>
      <w:r w:rsidRPr="006D70DF">
        <w:rPr>
          <w:sz w:val="22"/>
          <w:szCs w:val="22"/>
        </w:rPr>
        <w:t>ransomware</w:t>
      </w:r>
      <w:proofErr w:type="spellEnd"/>
      <w:r w:rsidRPr="006D70DF">
        <w:rPr>
          <w:sz w:val="22"/>
          <w:szCs w:val="22"/>
        </w:rPr>
        <w:t>.</w:t>
      </w:r>
    </w:p>
    <w:p w14:paraId="00000149" w14:textId="77777777" w:rsidR="000E5E6C" w:rsidRPr="006D70DF" w:rsidRDefault="00972C18">
      <w:pPr>
        <w:widowControl w:val="0"/>
        <w:numPr>
          <w:ilvl w:val="0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b/>
          <w:bCs/>
          <w:sz w:val="22"/>
          <w:szCs w:val="22"/>
        </w:rPr>
        <w:t>Integracja ze środowiskiem Zamawiającego:</w:t>
      </w:r>
    </w:p>
    <w:p w14:paraId="0000014A" w14:textId="77777777" w:rsidR="000E5E6C" w:rsidRPr="006D70DF" w:rsidRDefault="00972C18">
      <w:pPr>
        <w:widowControl w:val="0"/>
        <w:numPr>
          <w:ilvl w:val="1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sz w:val="22"/>
          <w:szCs w:val="22"/>
        </w:rPr>
        <w:t>Podłączenie i konfiguracja ścieżek (MPIO) dla serwerów wirtualizacji (</w:t>
      </w:r>
      <w:proofErr w:type="spellStart"/>
      <w:r w:rsidRPr="006D70DF">
        <w:rPr>
          <w:sz w:val="22"/>
          <w:szCs w:val="22"/>
        </w:rPr>
        <w:t>VMware</w:t>
      </w:r>
      <w:proofErr w:type="spellEnd"/>
      <w:r w:rsidRPr="006D70DF">
        <w:rPr>
          <w:sz w:val="22"/>
          <w:szCs w:val="22"/>
        </w:rPr>
        <w:t xml:space="preserve"> 8.x) oraz serwerów baz danych (Oracle).</w:t>
      </w:r>
    </w:p>
    <w:p w14:paraId="0000014B" w14:textId="77777777" w:rsidR="000E5E6C" w:rsidRPr="006D70DF" w:rsidRDefault="00972C18">
      <w:pPr>
        <w:widowControl w:val="0"/>
        <w:numPr>
          <w:ilvl w:val="1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sz w:val="22"/>
          <w:szCs w:val="22"/>
        </w:rPr>
        <w:t xml:space="preserve">Mapowanie wolumenów i optymalizacja parametrów transmisji dla protokołu </w:t>
      </w:r>
      <w:proofErr w:type="spellStart"/>
      <w:r w:rsidRPr="006D70DF">
        <w:rPr>
          <w:sz w:val="22"/>
          <w:szCs w:val="22"/>
        </w:rPr>
        <w:t>NVMeoF</w:t>
      </w:r>
      <w:proofErr w:type="spellEnd"/>
      <w:r w:rsidRPr="006D70DF">
        <w:rPr>
          <w:sz w:val="22"/>
          <w:szCs w:val="22"/>
        </w:rPr>
        <w:t>-FC.</w:t>
      </w:r>
    </w:p>
    <w:p w14:paraId="0000014C" w14:textId="77777777" w:rsidR="000E5E6C" w:rsidRPr="006D70DF" w:rsidRDefault="00972C18">
      <w:pPr>
        <w:widowControl w:val="0"/>
        <w:numPr>
          <w:ilvl w:val="0"/>
          <w:numId w:val="3"/>
        </w:numPr>
        <w:spacing w:after="0" w:line="240" w:lineRule="auto"/>
        <w:jc w:val="both"/>
        <w:rPr>
          <w:sz w:val="22"/>
          <w:szCs w:val="22"/>
        </w:rPr>
      </w:pPr>
      <w:r w:rsidRPr="006D70DF">
        <w:rPr>
          <w:b/>
          <w:bCs/>
          <w:sz w:val="22"/>
          <w:szCs w:val="22"/>
        </w:rPr>
        <w:t>Testy i Dokumentacja:</w:t>
      </w:r>
    </w:p>
    <w:p w14:paraId="0000014D" w14:textId="77777777" w:rsidR="000E5E6C" w:rsidRPr="006D70DF" w:rsidRDefault="00972C18">
      <w:pPr>
        <w:widowControl w:val="0"/>
        <w:numPr>
          <w:ilvl w:val="1"/>
          <w:numId w:val="3"/>
        </w:numPr>
        <w:spacing w:after="0" w:line="240" w:lineRule="auto"/>
        <w:jc w:val="both"/>
        <w:rPr>
          <w:sz w:val="22"/>
          <w:szCs w:val="22"/>
        </w:rPr>
      </w:pPr>
      <w:bookmarkStart w:id="5" w:name="_heading=h.6j4m9ibremhm" w:colFirst="0" w:colLast="0"/>
      <w:bookmarkEnd w:id="5"/>
      <w:r w:rsidRPr="006D70DF">
        <w:rPr>
          <w:sz w:val="22"/>
          <w:szCs w:val="22"/>
        </w:rPr>
        <w:t>Wykonanie testów wydajnościowych (IOPS/</w:t>
      </w:r>
      <w:proofErr w:type="spellStart"/>
      <w:r w:rsidRPr="006D70DF">
        <w:rPr>
          <w:sz w:val="22"/>
          <w:szCs w:val="22"/>
        </w:rPr>
        <w:t>Latency</w:t>
      </w:r>
      <w:proofErr w:type="spellEnd"/>
      <w:r w:rsidRPr="006D70DF">
        <w:rPr>
          <w:sz w:val="22"/>
          <w:szCs w:val="22"/>
        </w:rPr>
        <w:t>) potwierdzających deklaracje z oferty oraz przeprowadzenie testów awaryjnych (symulacja padu macierzy/kontrolera/kabla). Odbiór przedmiotu zamówienia zostanie potwierdzony Protokołem Zdawczo-Odbiorczym, po przeprowadzeniu przez Wykonawcę w obecności przedstawicieli Zamawiającego testów funkcjonalnych i wydajnościowych, potwierdzających zgodność z niniejszym Szczegółowym Opisem Przedmiotu Zamówienia (SOPZ).</w:t>
      </w:r>
    </w:p>
    <w:p w14:paraId="0000014E" w14:textId="77777777" w:rsidR="000E5E6C" w:rsidRPr="006D70DF" w:rsidRDefault="00972C18">
      <w:pPr>
        <w:widowControl w:val="0"/>
        <w:numPr>
          <w:ilvl w:val="1"/>
          <w:numId w:val="3"/>
        </w:numPr>
        <w:spacing w:after="0" w:line="240" w:lineRule="auto"/>
        <w:jc w:val="both"/>
        <w:rPr>
          <w:sz w:val="22"/>
          <w:szCs w:val="22"/>
        </w:rPr>
      </w:pPr>
      <w:bookmarkStart w:id="6" w:name="_heading=h.tf0jx2837k8r" w:colFirst="0" w:colLast="0"/>
      <w:bookmarkEnd w:id="6"/>
      <w:r w:rsidRPr="006D70DF">
        <w:rPr>
          <w:sz w:val="22"/>
          <w:szCs w:val="22"/>
        </w:rPr>
        <w:lastRenderedPageBreak/>
        <w:t>Dostarczenie dokumentacji powdrożeniowej i przeprowadzenie instruktażu dla administratorów (min. 8h) dla minimum 3 osób (warunek podpisania protokołu zdawczo- odbiorczego).</w:t>
      </w:r>
    </w:p>
    <w:p w14:paraId="0000014F" w14:textId="77777777" w:rsidR="000E5E6C" w:rsidRPr="006D70DF" w:rsidRDefault="000E5E6C">
      <w:pPr>
        <w:widowControl w:val="0"/>
        <w:spacing w:after="0" w:line="240" w:lineRule="auto"/>
        <w:rPr>
          <w:b/>
          <w:bCs/>
          <w:sz w:val="22"/>
          <w:szCs w:val="22"/>
        </w:rPr>
      </w:pPr>
    </w:p>
    <w:p w14:paraId="00000150" w14:textId="77777777" w:rsidR="000E5E6C" w:rsidRPr="006D70DF" w:rsidRDefault="00972C18">
      <w:pPr>
        <w:rPr>
          <w:sz w:val="22"/>
          <w:szCs w:val="22"/>
        </w:rPr>
      </w:pPr>
      <w:r w:rsidRPr="006D70DF">
        <w:rPr>
          <w:sz w:val="22"/>
          <w:szCs w:val="22"/>
        </w:rPr>
        <w:t>—----------------------------------------------</w:t>
      </w:r>
    </w:p>
    <w:p w14:paraId="00000151" w14:textId="77777777" w:rsidR="000E5E6C" w:rsidRPr="006D70DF" w:rsidRDefault="00972C18">
      <w:pPr>
        <w:numPr>
          <w:ilvl w:val="0"/>
          <w:numId w:val="1"/>
        </w:numPr>
        <w:spacing w:after="0"/>
        <w:jc w:val="both"/>
        <w:rPr>
          <w:sz w:val="22"/>
          <w:szCs w:val="22"/>
        </w:rPr>
      </w:pPr>
      <w:r w:rsidRPr="006D70DF">
        <w:rPr>
          <w:sz w:val="22"/>
          <w:szCs w:val="22"/>
        </w:rPr>
        <w:t xml:space="preserve">Parametry określone przez Zamawiającego w kolumnie </w:t>
      </w:r>
      <w:r w:rsidRPr="006D70DF">
        <w:rPr>
          <w:b/>
          <w:bCs/>
          <w:sz w:val="22"/>
          <w:szCs w:val="22"/>
        </w:rPr>
        <w:t>„Parametr wymagany” słowem TAK są bezwzględnie wymagane</w:t>
      </w:r>
      <w:r w:rsidRPr="006D70DF">
        <w:rPr>
          <w:sz w:val="22"/>
          <w:szCs w:val="22"/>
        </w:rPr>
        <w:t xml:space="preserve">, a ich wartości muszą spełniać zakres określony w tej kolumnie. </w:t>
      </w:r>
    </w:p>
    <w:p w14:paraId="00000152" w14:textId="77777777" w:rsidR="000E5E6C" w:rsidRPr="006D70DF" w:rsidRDefault="00972C18">
      <w:pPr>
        <w:numPr>
          <w:ilvl w:val="0"/>
          <w:numId w:val="1"/>
        </w:numPr>
        <w:spacing w:after="0"/>
        <w:jc w:val="both"/>
        <w:rPr>
          <w:sz w:val="22"/>
          <w:szCs w:val="22"/>
        </w:rPr>
      </w:pPr>
      <w:r w:rsidRPr="006D70DF">
        <w:rPr>
          <w:sz w:val="22"/>
          <w:szCs w:val="22"/>
        </w:rPr>
        <w:t xml:space="preserve">Parametry określone przez Zamawiającego w kolumnie </w:t>
      </w:r>
      <w:r w:rsidRPr="006D70DF">
        <w:rPr>
          <w:b/>
          <w:bCs/>
          <w:sz w:val="22"/>
          <w:szCs w:val="22"/>
        </w:rPr>
        <w:t xml:space="preserve">„Parametr oferowany” słowem TAK, podać są bezwzględnie wymagane i należy uzupełnić przez podanie wymaganych informacji. </w:t>
      </w:r>
    </w:p>
    <w:p w14:paraId="00000153" w14:textId="77777777" w:rsidR="000E5E6C" w:rsidRPr="006D70DF" w:rsidRDefault="00972C18">
      <w:pPr>
        <w:numPr>
          <w:ilvl w:val="0"/>
          <w:numId w:val="1"/>
        </w:numPr>
        <w:spacing w:after="0"/>
        <w:jc w:val="both"/>
        <w:rPr>
          <w:sz w:val="22"/>
          <w:szCs w:val="22"/>
        </w:rPr>
      </w:pPr>
      <w:r w:rsidRPr="006D70DF">
        <w:rPr>
          <w:sz w:val="22"/>
          <w:szCs w:val="22"/>
        </w:rPr>
        <w:t>Załącznik wskazuje minimalne wymagania zamawiającego, które muszą zostać spełnione, natomiast wykonawca – wypełniając ten załącznik – oferuje konkretne rozwiązania, charakteryzując w ten sposób zaoferowany asortyment. Załącznik należy wypełnić w całości, bez wprowadzania zmian w jego treści – stanowi on integralną część oferty – deklarację wykonawcy co do jej treści.</w:t>
      </w:r>
    </w:p>
    <w:p w14:paraId="00000154" w14:textId="77777777" w:rsidR="000E5E6C" w:rsidRPr="006D70DF" w:rsidRDefault="00972C18">
      <w:pPr>
        <w:numPr>
          <w:ilvl w:val="0"/>
          <w:numId w:val="1"/>
        </w:numPr>
        <w:spacing w:after="0"/>
        <w:jc w:val="both"/>
        <w:rPr>
          <w:b/>
          <w:bCs/>
          <w:sz w:val="22"/>
          <w:szCs w:val="22"/>
        </w:rPr>
      </w:pPr>
      <w:r w:rsidRPr="006D70DF">
        <w:rPr>
          <w:b/>
          <w:bCs/>
          <w:sz w:val="22"/>
          <w:szCs w:val="22"/>
        </w:rPr>
        <w:t xml:space="preserve">Brak niniejszego załącznika w ofercie spowoduje odrzucenie oferty jako niezgodnej z SWZ. </w:t>
      </w:r>
    </w:p>
    <w:p w14:paraId="00000155" w14:textId="77777777" w:rsidR="000E5E6C" w:rsidRPr="006D70DF" w:rsidRDefault="00972C18">
      <w:pPr>
        <w:numPr>
          <w:ilvl w:val="0"/>
          <w:numId w:val="1"/>
        </w:numPr>
        <w:spacing w:after="0"/>
        <w:jc w:val="both"/>
        <w:rPr>
          <w:sz w:val="22"/>
          <w:szCs w:val="22"/>
        </w:rPr>
      </w:pPr>
      <w:r w:rsidRPr="006D70DF">
        <w:rPr>
          <w:sz w:val="22"/>
          <w:szCs w:val="22"/>
        </w:rPr>
        <w:t>Modyfikacja załącznika przez Wykonawcę co do treści minimalnych wymagań Zamawiającego określonych w kolumnie nr 2 ww. tabeli, spowoduje odrzucenie oferty jako niezgodnej z SWZ.</w:t>
      </w:r>
    </w:p>
    <w:p w14:paraId="00000156" w14:textId="77777777" w:rsidR="000E5E6C" w:rsidRPr="006D70DF" w:rsidRDefault="00972C18">
      <w:pPr>
        <w:numPr>
          <w:ilvl w:val="0"/>
          <w:numId w:val="1"/>
        </w:numPr>
        <w:jc w:val="both"/>
        <w:rPr>
          <w:sz w:val="22"/>
          <w:szCs w:val="22"/>
        </w:rPr>
      </w:pPr>
      <w:r w:rsidRPr="006D70DF">
        <w:rPr>
          <w:sz w:val="22"/>
          <w:szCs w:val="22"/>
        </w:rPr>
        <w:t xml:space="preserve">Brak uzupełniania danych przez Wykonawcę w poszczególnych wierszach kolumny nr 4 "Parametr oferowany" ww. tabeli, będzie traktowany jako brak danego parametru w oferowanej macierzy, co spowoduje odrzucenie oferty jako niezgodnej z SWZ.  </w:t>
      </w:r>
    </w:p>
    <w:p w14:paraId="00000157" w14:textId="77777777" w:rsidR="000E5E6C" w:rsidRPr="006D70DF" w:rsidRDefault="000E5E6C">
      <w:pPr>
        <w:jc w:val="both"/>
        <w:rPr>
          <w:sz w:val="22"/>
          <w:szCs w:val="22"/>
        </w:rPr>
      </w:pPr>
    </w:p>
    <w:p w14:paraId="00000158" w14:textId="77777777" w:rsidR="000E5E6C" w:rsidRPr="006D70DF" w:rsidRDefault="00972C18">
      <w:pPr>
        <w:tabs>
          <w:tab w:val="left" w:pos="1978"/>
          <w:tab w:val="left" w:pos="3828"/>
          <w:tab w:val="center" w:pos="4677"/>
        </w:tabs>
        <w:spacing w:after="0"/>
        <w:jc w:val="center"/>
        <w:rPr>
          <w:b/>
          <w:bCs/>
          <w:i/>
          <w:iCs/>
          <w:color w:val="156082"/>
          <w:sz w:val="22"/>
          <w:szCs w:val="22"/>
        </w:rPr>
      </w:pPr>
      <w:r w:rsidRPr="006D70DF">
        <w:rPr>
          <w:b/>
          <w:bCs/>
          <w:i/>
          <w:iCs/>
          <w:color w:val="156082"/>
          <w:sz w:val="22"/>
          <w:szCs w:val="22"/>
        </w:rPr>
        <w:t>Formularz należy wypełnić i podpisać kwalifikowanym podpisem elektronicznym.</w:t>
      </w:r>
    </w:p>
    <w:p w14:paraId="00000159" w14:textId="77777777" w:rsidR="000E5E6C" w:rsidRPr="006D70DF" w:rsidRDefault="00972C18">
      <w:pPr>
        <w:tabs>
          <w:tab w:val="left" w:pos="1978"/>
          <w:tab w:val="left" w:pos="3828"/>
          <w:tab w:val="center" w:pos="4677"/>
        </w:tabs>
        <w:spacing w:after="0"/>
        <w:jc w:val="center"/>
        <w:rPr>
          <w:b/>
          <w:bCs/>
          <w:i/>
          <w:iCs/>
          <w:color w:val="156082"/>
          <w:sz w:val="22"/>
          <w:szCs w:val="22"/>
        </w:rPr>
      </w:pPr>
      <w:r w:rsidRPr="006D70DF">
        <w:rPr>
          <w:b/>
          <w:bCs/>
          <w:i/>
          <w:iCs/>
          <w:color w:val="156082"/>
          <w:sz w:val="22"/>
          <w:szCs w:val="22"/>
        </w:rPr>
        <w:t>Zamawiający zaleca przed podpisaniem zapisanie dokumentu w formacie PDF.</w:t>
      </w:r>
    </w:p>
    <w:p w14:paraId="0000015A" w14:textId="77777777" w:rsidR="000E5E6C" w:rsidRPr="006D70DF" w:rsidRDefault="000E5E6C">
      <w:pPr>
        <w:widowControl w:val="0"/>
        <w:spacing w:after="0" w:line="240" w:lineRule="auto"/>
        <w:rPr>
          <w:color w:val="FF0000"/>
          <w:sz w:val="22"/>
          <w:szCs w:val="22"/>
        </w:rPr>
      </w:pPr>
    </w:p>
    <w:sectPr w:rsidR="000E5E6C" w:rsidRPr="006D70DF">
      <w:headerReference w:type="default" r:id="rId8"/>
      <w:pgSz w:w="16838" w:h="11906" w:orient="landscape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436529" w14:textId="77777777" w:rsidR="00433A7D" w:rsidRDefault="00433A7D">
      <w:pPr>
        <w:spacing w:after="0" w:line="240" w:lineRule="auto"/>
      </w:pPr>
      <w:r>
        <w:separator/>
      </w:r>
    </w:p>
  </w:endnote>
  <w:endnote w:type="continuationSeparator" w:id="0">
    <w:p w14:paraId="7A7890E9" w14:textId="77777777" w:rsidR="00433A7D" w:rsidRDefault="00433A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3AB07296-63A9-450A-9E19-0B3F3C7608C9}"/>
    <w:embedBold r:id="rId2" w:fontKey="{625510D1-A843-4495-A3C1-1D3FFB39C065}"/>
    <w:embedItalic r:id="rId3" w:fontKey="{F30FF321-DCD1-44AA-91F9-7C4E964ADFA8}"/>
    <w:embedBoldItalic r:id="rId4" w:fontKey="{5BB6F45A-13F8-44F3-BD02-0E83B3385B8D}"/>
  </w:font>
  <w:font w:name="Play">
    <w:altName w:val="Calibri"/>
    <w:charset w:val="00"/>
    <w:family w:val="auto"/>
    <w:pitch w:val="default"/>
    <w:embedRegular r:id="rId5" w:fontKey="{F171B59A-0BFE-4946-B8D4-33C42FC10FD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E25940D-7790-405F-A35A-2CCA6DFD87F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55E45D86-CEAE-40BC-A018-76AC201CAFA3}"/>
    <w:embedBold r:id="rId8" w:fontKey="{7E5D969A-7E3E-4065-B0D4-07471A6EAFDB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CD59E2" w14:textId="77777777" w:rsidR="00433A7D" w:rsidRDefault="00433A7D">
      <w:pPr>
        <w:spacing w:after="0" w:line="240" w:lineRule="auto"/>
      </w:pPr>
      <w:r>
        <w:separator/>
      </w:r>
    </w:p>
  </w:footnote>
  <w:footnote w:type="continuationSeparator" w:id="0">
    <w:p w14:paraId="496AB003" w14:textId="77777777" w:rsidR="00433A7D" w:rsidRDefault="00433A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15B" w14:textId="77777777" w:rsidR="000E5E6C" w:rsidRDefault="00972C18">
    <w:pPr>
      <w:tabs>
        <w:tab w:val="left" w:pos="2520"/>
      </w:tabs>
      <w:spacing w:after="0" w:line="259" w:lineRule="auto"/>
      <w:jc w:val="both"/>
    </w:pPr>
    <w:r>
      <w:rPr>
        <w:rFonts w:ascii="Arial" w:eastAsia="Arial" w:hAnsi="Arial" w:cs="Arial"/>
        <w:noProof/>
        <w:sz w:val="22"/>
        <w:szCs w:val="22"/>
      </w:rPr>
      <w:drawing>
        <wp:inline distT="0" distB="0" distL="114300" distR="114300" wp14:anchorId="1C925B41" wp14:editId="35C3955F">
          <wp:extent cx="8799195" cy="993458"/>
          <wp:effectExtent l="0" t="0" r="0" b="0"/>
          <wp:docPr id="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799195" cy="9934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344E28"/>
    <w:multiLevelType w:val="multilevel"/>
    <w:tmpl w:val="588EA2F0"/>
    <w:lvl w:ilvl="0">
      <w:start w:val="1"/>
      <w:numFmt w:val="decimal"/>
      <w:lvlText w:val="%1."/>
      <w:lvlJc w:val="center"/>
      <w:pPr>
        <w:ind w:left="397" w:hanging="171"/>
      </w:pPr>
    </w:lvl>
    <w:lvl w:ilvl="1">
      <w:start w:val="1"/>
      <w:numFmt w:val="lowerLetter"/>
      <w:lvlText w:val="%2."/>
      <w:lvlJc w:val="left"/>
      <w:pPr>
        <w:ind w:left="1553" w:hanging="360"/>
      </w:pPr>
    </w:lvl>
    <w:lvl w:ilvl="2">
      <w:start w:val="1"/>
      <w:numFmt w:val="lowerRoman"/>
      <w:lvlText w:val="%3."/>
      <w:lvlJc w:val="right"/>
      <w:pPr>
        <w:ind w:left="2273" w:hanging="180"/>
      </w:pPr>
    </w:lvl>
    <w:lvl w:ilvl="3">
      <w:start w:val="1"/>
      <w:numFmt w:val="decimal"/>
      <w:lvlText w:val="%4."/>
      <w:lvlJc w:val="left"/>
      <w:pPr>
        <w:ind w:left="2993" w:hanging="360"/>
      </w:pPr>
    </w:lvl>
    <w:lvl w:ilvl="4">
      <w:start w:val="1"/>
      <w:numFmt w:val="lowerLetter"/>
      <w:lvlText w:val="%5."/>
      <w:lvlJc w:val="left"/>
      <w:pPr>
        <w:ind w:left="3713" w:hanging="360"/>
      </w:pPr>
    </w:lvl>
    <w:lvl w:ilvl="5">
      <w:start w:val="1"/>
      <w:numFmt w:val="lowerRoman"/>
      <w:lvlText w:val="%6."/>
      <w:lvlJc w:val="right"/>
      <w:pPr>
        <w:ind w:left="4433" w:hanging="180"/>
      </w:pPr>
    </w:lvl>
    <w:lvl w:ilvl="6">
      <w:start w:val="1"/>
      <w:numFmt w:val="decimal"/>
      <w:lvlText w:val="%7."/>
      <w:lvlJc w:val="left"/>
      <w:pPr>
        <w:ind w:left="5153" w:hanging="360"/>
      </w:pPr>
    </w:lvl>
    <w:lvl w:ilvl="7">
      <w:start w:val="1"/>
      <w:numFmt w:val="lowerLetter"/>
      <w:lvlText w:val="%8."/>
      <w:lvlJc w:val="left"/>
      <w:pPr>
        <w:ind w:left="5873" w:hanging="360"/>
      </w:pPr>
    </w:lvl>
    <w:lvl w:ilvl="8">
      <w:start w:val="1"/>
      <w:numFmt w:val="lowerRoman"/>
      <w:lvlText w:val="%9."/>
      <w:lvlJc w:val="right"/>
      <w:pPr>
        <w:ind w:left="6593" w:hanging="180"/>
      </w:pPr>
    </w:lvl>
  </w:abstractNum>
  <w:abstractNum w:abstractNumId="1" w15:restartNumberingAfterBreak="0">
    <w:nsid w:val="3B71118F"/>
    <w:multiLevelType w:val="multilevel"/>
    <w:tmpl w:val="93EA21D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41D24F37"/>
    <w:multiLevelType w:val="multilevel"/>
    <w:tmpl w:val="4A889CD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E6C"/>
    <w:rsid w:val="000E5E6C"/>
    <w:rsid w:val="00353ED0"/>
    <w:rsid w:val="00433A7D"/>
    <w:rsid w:val="00532EED"/>
    <w:rsid w:val="00607E57"/>
    <w:rsid w:val="006D70DF"/>
    <w:rsid w:val="00787409"/>
    <w:rsid w:val="00796744"/>
    <w:rsid w:val="00972C18"/>
    <w:rsid w:val="00A864AA"/>
    <w:rsid w:val="00AF2880"/>
    <w:rsid w:val="00F35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8E21E3"/>
  <w15:docId w15:val="{0CAA7CDB-4AE8-4CC1-8BC0-6ED907AE15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spacing w:before="160" w:after="80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/>
      <w:outlineLvl w:val="2"/>
    </w:pPr>
    <w:rPr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0F476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4"/>
    </w:pPr>
    <w:rPr>
      <w:color w:val="0F4761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Nagwek7">
    <w:name w:val="heading 7"/>
    <w:link w:val="Nagwek7Znak"/>
    <w:uiPriority w:val="9"/>
    <w:semiHidden/>
    <w:unhideWhenUsed/>
    <w:qFormat/>
    <w:rsid w:val="00E04A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link w:val="Nagwek8Znak"/>
    <w:uiPriority w:val="9"/>
    <w:semiHidden/>
    <w:unhideWhenUsed/>
    <w:qFormat/>
    <w:rsid w:val="00E04A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link w:val="Nagwek9Znak"/>
    <w:uiPriority w:val="9"/>
    <w:semiHidden/>
    <w:unhideWhenUsed/>
    <w:qFormat/>
    <w:rsid w:val="00E04A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E04AE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E04AE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rsid w:val="00E04AE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E04AE5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E04AE5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E04AE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04AE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04AE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04AE5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E04A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E04A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E04A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04AE5"/>
    <w:rPr>
      <w:i/>
      <w:iCs/>
      <w:color w:val="404040" w:themeColor="text1" w:themeTint="BF"/>
    </w:rPr>
  </w:style>
  <w:style w:type="paragraph" w:styleId="Akapitzlist">
    <w:name w:val="List Paragraph"/>
    <w:aliases w:val="L1,Numerowanie,List Paragraph,Akapit z listą BS,Kolorowa lista — akcent 11,Akapit normalny,List Paragraph2,CW_Lista,lp1,Preambuła,Dot pt,F5 List Paragraph,Recommendation,List Paragraph11,Podsis rysunku,Bulleted list,Odstavec,sw tekst,Obie"/>
    <w:link w:val="AkapitzlistZnak"/>
    <w:uiPriority w:val="34"/>
    <w:qFormat/>
    <w:rsid w:val="00E04AE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04AE5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E04AE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04AE5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04AE5"/>
    <w:rPr>
      <w:b/>
      <w:bCs/>
      <w:smallCaps/>
      <w:color w:val="0F4761" w:themeColor="accent1" w:themeShade="BF"/>
      <w:spacing w:val="5"/>
    </w:rPr>
  </w:style>
  <w:style w:type="character" w:customStyle="1" w:styleId="AkapitzlistZnak">
    <w:name w:val="Akapit z listą Znak"/>
    <w:aliases w:val="L1 Znak,Numerowanie Znak,List Paragraph Znak,Akapit z listą BS Znak,Kolorowa lista — akcent 11 Znak,Akapit normalny Znak,List Paragraph2 Znak,CW_Lista Znak,lp1 Znak,Preambuła Znak,Dot pt Znak,F5 List Paragraph Znak,Bulleted list Znak"/>
    <w:link w:val="Akapitzlist"/>
    <w:uiPriority w:val="34"/>
    <w:qFormat/>
    <w:rsid w:val="00834A56"/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Nagwek">
    <w:name w:val="header"/>
    <w:link w:val="NagwekZnak"/>
    <w:uiPriority w:val="99"/>
    <w:unhideWhenUsed/>
    <w:rsid w:val="00DF113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F1131"/>
  </w:style>
  <w:style w:type="paragraph" w:styleId="Stopka">
    <w:name w:val="footer"/>
    <w:link w:val="StopkaZnak"/>
    <w:uiPriority w:val="99"/>
    <w:unhideWhenUsed/>
    <w:rsid w:val="00DF113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F1131"/>
  </w:style>
  <w:style w:type="character" w:styleId="Odwoaniedokomentarza">
    <w:name w:val="annotation reference"/>
    <w:basedOn w:val="Domylnaczcionkaakapitu"/>
    <w:uiPriority w:val="99"/>
    <w:semiHidden/>
    <w:unhideWhenUsed/>
    <w:rsid w:val="00DF1131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DF1131"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F1131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F113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F1131"/>
    <w:rPr>
      <w:b/>
      <w:bCs/>
    </w:rPr>
  </w:style>
  <w:style w:type="paragraph" w:styleId="Poprawka">
    <w:name w:val="Revision"/>
    <w:hidden/>
    <w:uiPriority w:val="99"/>
    <w:semiHidden/>
    <w:rsid w:val="00E06A3D"/>
    <w:pPr>
      <w:spacing w:after="0" w:line="240" w:lineRule="auto"/>
    </w:pPr>
  </w:style>
  <w:style w:type="paragraph" w:styleId="NormalnyWeb">
    <w:name w:val="Normal (Web)"/>
    <w:uiPriority w:val="99"/>
    <w:semiHidden/>
    <w:unhideWhenUsed/>
    <w:rsid w:val="00C200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  <w:style w:type="paragraph" w:styleId="Podtytu">
    <w:name w:val="Subtitle"/>
    <w:basedOn w:val="Normalny"/>
    <w:next w:val="Normalny"/>
    <w:uiPriority w:val="11"/>
    <w:qFormat/>
    <w:rPr>
      <w:color w:val="595959"/>
      <w:sz w:val="28"/>
      <w:szCs w:val="2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QQqaNMOmYueEUmcRVinW04hgiQ==">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9</Pages>
  <Words>2034</Words>
  <Characters>12206</Characters>
  <Application>Microsoft Office Word</Application>
  <DocSecurity>0</DocSecurity>
  <Lines>101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Maximilian Kotulla</dc:creator>
  <cp:lastModifiedBy>Agata Grześczak</cp:lastModifiedBy>
  <cp:revision>6</cp:revision>
  <dcterms:created xsi:type="dcterms:W3CDTF">2026-02-06T06:44:00Z</dcterms:created>
  <dcterms:modified xsi:type="dcterms:W3CDTF">2026-02-20T14:55:00Z</dcterms:modified>
</cp:coreProperties>
</file>